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CC1" w:rsidRDefault="00885CC1" w:rsidP="00BA57BA">
      <w:pPr>
        <w:spacing w:line="360" w:lineRule="auto"/>
        <w:jc w:val="both"/>
        <w:rPr>
          <w:rFonts w:ascii="Arial" w:hAnsi="Arial" w:cs="Arial"/>
          <w:sz w:val="24"/>
          <w:szCs w:val="24"/>
        </w:rPr>
      </w:pPr>
      <w:bookmarkStart w:id="0" w:name="_GoBack"/>
      <w:bookmarkEnd w:id="0"/>
    </w:p>
    <w:p w:rsidR="00D17A20" w:rsidRDefault="00BA57BA" w:rsidP="00BA57BA">
      <w:pPr>
        <w:spacing w:line="360" w:lineRule="auto"/>
        <w:jc w:val="both"/>
        <w:rPr>
          <w:rFonts w:ascii="Arial" w:hAnsi="Arial" w:cs="Arial"/>
          <w:sz w:val="24"/>
          <w:szCs w:val="24"/>
        </w:rPr>
      </w:pPr>
      <w:r>
        <w:rPr>
          <w:rFonts w:ascii="Arial" w:hAnsi="Arial" w:cs="Arial"/>
          <w:sz w:val="24"/>
          <w:szCs w:val="24"/>
        </w:rPr>
        <w:t xml:space="preserve">I.A.K.E. </w:t>
      </w:r>
    </w:p>
    <w:p w:rsidR="00BA57BA" w:rsidRPr="001851DB" w:rsidRDefault="00BA57BA" w:rsidP="001851DB">
      <w:pPr>
        <w:spacing w:line="240" w:lineRule="auto"/>
        <w:jc w:val="both"/>
        <w:rPr>
          <w:rFonts w:ascii="Arial" w:hAnsi="Arial" w:cs="Arial"/>
          <w:color w:val="1F3864" w:themeColor="accent5" w:themeShade="80"/>
          <w:sz w:val="24"/>
          <w:szCs w:val="24"/>
          <w:lang w:val="en-US" w:eastAsia="el-GR"/>
        </w:rPr>
      </w:pPr>
      <w:r w:rsidRPr="001851DB">
        <w:rPr>
          <w:rFonts w:ascii="Arial" w:hAnsi="Arial" w:cs="Arial"/>
          <w:color w:val="1F3864" w:themeColor="accent5" w:themeShade="80"/>
          <w:sz w:val="24"/>
          <w:szCs w:val="24"/>
          <w:lang w:val="en-US" w:eastAsia="el-GR"/>
        </w:rPr>
        <w:t>Instituto de Humanidades y Ciencias Sociales</w:t>
      </w:r>
    </w:p>
    <w:p w:rsidR="00BA57BA" w:rsidRPr="001851DB" w:rsidRDefault="00BA57BA" w:rsidP="001851DB">
      <w:pPr>
        <w:spacing w:line="240" w:lineRule="auto"/>
        <w:jc w:val="both"/>
        <w:rPr>
          <w:rFonts w:ascii="Arial" w:hAnsi="Arial" w:cs="Arial"/>
          <w:color w:val="1F3864" w:themeColor="accent5" w:themeShade="80"/>
          <w:sz w:val="24"/>
          <w:szCs w:val="24"/>
          <w:lang w:val="en-US" w:eastAsia="el-GR"/>
        </w:rPr>
      </w:pPr>
      <w:r w:rsidRPr="001851DB">
        <w:rPr>
          <w:rFonts w:ascii="Arial" w:hAnsi="Arial" w:cs="Arial"/>
          <w:color w:val="1F3864" w:themeColor="accent5" w:themeShade="80"/>
          <w:sz w:val="24"/>
          <w:szCs w:val="24"/>
          <w:lang w:val="en-US" w:eastAsia="el-GR"/>
        </w:rPr>
        <w:t xml:space="preserve">Dirección: Evans 83-85 (Oficina A11), C.P. 71201, </w:t>
      </w:r>
      <w:proofErr w:type="spellStart"/>
      <w:r w:rsidRPr="001851DB">
        <w:rPr>
          <w:rFonts w:ascii="Arial" w:hAnsi="Arial" w:cs="Arial"/>
          <w:color w:val="1F3864" w:themeColor="accent5" w:themeShade="80"/>
          <w:sz w:val="24"/>
          <w:szCs w:val="24"/>
          <w:lang w:val="en-US" w:eastAsia="el-GR"/>
        </w:rPr>
        <w:t>Heraclión</w:t>
      </w:r>
      <w:proofErr w:type="spellEnd"/>
      <w:r w:rsidRPr="001851DB">
        <w:rPr>
          <w:rFonts w:ascii="Arial" w:hAnsi="Arial" w:cs="Arial"/>
          <w:color w:val="1F3864" w:themeColor="accent5" w:themeShade="80"/>
          <w:sz w:val="24"/>
          <w:szCs w:val="24"/>
          <w:lang w:val="en-US" w:eastAsia="el-GR"/>
        </w:rPr>
        <w:t xml:space="preserve"> </w:t>
      </w:r>
      <w:proofErr w:type="spellStart"/>
      <w:r w:rsidRPr="001851DB">
        <w:rPr>
          <w:rFonts w:ascii="Arial" w:hAnsi="Arial" w:cs="Arial"/>
          <w:color w:val="1F3864" w:themeColor="accent5" w:themeShade="80"/>
          <w:sz w:val="24"/>
          <w:szCs w:val="24"/>
          <w:lang w:val="en-US" w:eastAsia="el-GR"/>
        </w:rPr>
        <w:t>Creta</w:t>
      </w:r>
      <w:proofErr w:type="spellEnd"/>
    </w:p>
    <w:p w:rsidR="00BA57BA" w:rsidRPr="001851DB" w:rsidRDefault="00BA57BA" w:rsidP="001851DB">
      <w:pPr>
        <w:spacing w:line="240" w:lineRule="auto"/>
        <w:jc w:val="both"/>
        <w:rPr>
          <w:rFonts w:ascii="Arial" w:hAnsi="Arial" w:cs="Arial"/>
          <w:color w:val="1F3864" w:themeColor="accent5" w:themeShade="80"/>
          <w:sz w:val="24"/>
          <w:szCs w:val="24"/>
          <w:lang w:val="en-US" w:eastAsia="el-GR"/>
        </w:rPr>
      </w:pPr>
      <w:r w:rsidRPr="001851DB">
        <w:rPr>
          <w:rFonts w:ascii="Arial" w:hAnsi="Arial" w:cs="Arial"/>
          <w:color w:val="1F3864" w:themeColor="accent5" w:themeShade="80"/>
          <w:sz w:val="24"/>
          <w:szCs w:val="24"/>
          <w:lang w:val="en-US" w:eastAsia="el-GR"/>
        </w:rPr>
        <w:t xml:space="preserve">Tel. / Fax: 2815200045, Correo electrónico: iakekriti@gmail.com  </w:t>
      </w:r>
    </w:p>
    <w:p w:rsidR="00BA57BA" w:rsidRPr="001851DB" w:rsidRDefault="00BA57BA" w:rsidP="001851DB">
      <w:pPr>
        <w:spacing w:line="240" w:lineRule="auto"/>
        <w:jc w:val="both"/>
        <w:rPr>
          <w:rFonts w:ascii="Arial" w:hAnsi="Arial" w:cs="Arial"/>
          <w:color w:val="1F3864" w:themeColor="accent5" w:themeShade="80"/>
          <w:sz w:val="24"/>
          <w:szCs w:val="24"/>
          <w:lang w:val="en-US" w:eastAsia="el-GR"/>
        </w:rPr>
      </w:pPr>
      <w:proofErr w:type="spellStart"/>
      <w:r w:rsidRPr="001851DB">
        <w:rPr>
          <w:rFonts w:ascii="Arial" w:hAnsi="Arial" w:cs="Arial"/>
          <w:color w:val="1F3864" w:themeColor="accent5" w:themeShade="80"/>
          <w:sz w:val="24"/>
          <w:szCs w:val="24"/>
          <w:lang w:val="en-US" w:eastAsia="el-GR"/>
        </w:rPr>
        <w:t>Sitio</w:t>
      </w:r>
      <w:proofErr w:type="spellEnd"/>
      <w:r w:rsidRPr="001851DB">
        <w:rPr>
          <w:rFonts w:ascii="Arial" w:hAnsi="Arial" w:cs="Arial"/>
          <w:color w:val="1F3864" w:themeColor="accent5" w:themeShade="80"/>
          <w:sz w:val="24"/>
          <w:szCs w:val="24"/>
          <w:lang w:val="en-US" w:eastAsia="el-GR"/>
        </w:rPr>
        <w:t xml:space="preserve"> web: http://</w:t>
      </w:r>
      <w:proofErr w:type="gramStart"/>
      <w:r w:rsidRPr="001851DB">
        <w:rPr>
          <w:rFonts w:ascii="Arial" w:hAnsi="Arial" w:cs="Arial"/>
          <w:color w:val="1F3864" w:themeColor="accent5" w:themeShade="80"/>
          <w:sz w:val="24"/>
          <w:szCs w:val="24"/>
          <w:lang w:val="en-US" w:eastAsia="el-GR"/>
        </w:rPr>
        <w:t>www.iake.gr  &amp;</w:t>
      </w:r>
      <w:proofErr w:type="gramEnd"/>
      <w:r w:rsidRPr="001851DB">
        <w:rPr>
          <w:rFonts w:ascii="Arial" w:hAnsi="Arial" w:cs="Arial"/>
          <w:color w:val="1F3864" w:themeColor="accent5" w:themeShade="80"/>
          <w:sz w:val="24"/>
          <w:szCs w:val="24"/>
          <w:lang w:val="en-US" w:eastAsia="el-GR"/>
        </w:rPr>
        <w:t xml:space="preserve">  http://iake.weebly.com </w:t>
      </w:r>
    </w:p>
    <w:p w:rsidR="00BA57BA" w:rsidRPr="001851DB" w:rsidRDefault="00BA57BA" w:rsidP="001851DB">
      <w:pPr>
        <w:spacing w:line="240" w:lineRule="auto"/>
        <w:jc w:val="both"/>
        <w:rPr>
          <w:rFonts w:ascii="Arial" w:hAnsi="Arial" w:cs="Arial"/>
          <w:color w:val="1F3864" w:themeColor="accent5" w:themeShade="80"/>
          <w:sz w:val="24"/>
          <w:szCs w:val="24"/>
          <w:lang w:val="en-US" w:eastAsia="el-GR"/>
        </w:rPr>
      </w:pPr>
      <w:r w:rsidRPr="001851DB">
        <w:rPr>
          <w:rFonts w:ascii="Arial" w:hAnsi="Arial" w:cs="Arial"/>
          <w:noProof/>
          <w:color w:val="1F3864" w:themeColor="accent5" w:themeShade="80"/>
          <w:sz w:val="24"/>
          <w:szCs w:val="24"/>
          <w:lang w:val="el-GR" w:eastAsia="el-GR"/>
        </w:rPr>
        <w:drawing>
          <wp:anchor distT="0" distB="0" distL="114300" distR="114300" simplePos="0" relativeHeight="251658240" behindDoc="1" locked="0" layoutInCell="1" allowOverlap="1" wp14:anchorId="3E017A97" wp14:editId="59C8B517">
            <wp:simplePos x="0" y="0"/>
            <wp:positionH relativeFrom="column">
              <wp:posOffset>0</wp:posOffset>
            </wp:positionH>
            <wp:positionV relativeFrom="paragraph">
              <wp:posOffset>3810</wp:posOffset>
            </wp:positionV>
            <wp:extent cx="182880" cy="182880"/>
            <wp:effectExtent l="0" t="0" r="7620" b="7620"/>
            <wp:wrapTight wrapText="bothSides">
              <wp:wrapPolygon edited="0">
                <wp:start x="0" y="0"/>
                <wp:lineTo x="0" y="20250"/>
                <wp:lineTo x="20250" y="20250"/>
                <wp:lineTo x="20250" y="0"/>
                <wp:lineTo x="0" y="0"/>
              </wp:wrapPolygon>
            </wp:wrapTight>
            <wp:docPr id="1" name="Imagen 1" descr="Αποτέλεσμα εικόνας για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Αποτέλεσμα εικόνας για facebook"/>
                    <pic:cNvPicPr>
                      <a:picLocks noChangeAspect="1" noChangeArrowheads="1"/>
                    </pic:cNvPicPr>
                  </pic:nvPicPr>
                  <pic:blipFill>
                    <a:blip r:embed="rId5">
                      <a:extLst>
                        <a:ext uri="{28A0092B-C50C-407E-A947-70E740481C1C}">
                          <a14:useLocalDpi xmlns:a14="http://schemas.microsoft.com/office/drawing/2010/main" val="0"/>
                        </a:ext>
                      </a:extLst>
                    </a:blip>
                    <a:srcRect l="17126" t="16978" r="17273" b="16461"/>
                    <a:stretch>
                      <a:fillRect/>
                    </a:stretch>
                  </pic:blipFill>
                  <pic:spPr bwMode="auto">
                    <a:xfrm>
                      <a:off x="0" y="0"/>
                      <a:ext cx="182880" cy="182880"/>
                    </a:xfrm>
                    <a:prstGeom prst="rect">
                      <a:avLst/>
                    </a:prstGeom>
                    <a:noFill/>
                  </pic:spPr>
                </pic:pic>
              </a:graphicData>
            </a:graphic>
            <wp14:sizeRelH relativeFrom="page">
              <wp14:pctWidth>0</wp14:pctWidth>
            </wp14:sizeRelH>
            <wp14:sizeRelV relativeFrom="page">
              <wp14:pctHeight>0</wp14:pctHeight>
            </wp14:sizeRelV>
          </wp:anchor>
        </w:drawing>
      </w:r>
      <w:hyperlink r:id="rId6" w:tgtFrame="_blank" w:history="1">
        <w:r w:rsidRPr="001851DB">
          <w:rPr>
            <w:rFonts w:ascii="Arial" w:hAnsi="Arial" w:cs="Arial"/>
            <w:color w:val="1F3864" w:themeColor="accent5" w:themeShade="80"/>
            <w:sz w:val="24"/>
            <w:szCs w:val="24"/>
            <w:lang w:val="en-US" w:eastAsia="el-GR"/>
          </w:rPr>
          <w:t>facebook.com/iake.gr</w:t>
        </w:r>
      </w:hyperlink>
      <w:r w:rsidRPr="001851DB">
        <w:rPr>
          <w:rFonts w:ascii="Arial" w:hAnsi="Arial" w:cs="Arial"/>
          <w:color w:val="1F3864" w:themeColor="accent5" w:themeShade="80"/>
          <w:sz w:val="24"/>
          <w:szCs w:val="24"/>
          <w:lang w:val="en-US" w:eastAsia="el-GR"/>
        </w:rPr>
        <w:t xml:space="preserve"> </w:t>
      </w:r>
    </w:p>
    <w:p w:rsidR="00BA57BA" w:rsidRPr="001851DB" w:rsidRDefault="00BA57BA" w:rsidP="001851DB">
      <w:pPr>
        <w:spacing w:line="240" w:lineRule="auto"/>
        <w:jc w:val="both"/>
        <w:rPr>
          <w:rFonts w:ascii="Arial" w:hAnsi="Arial" w:cs="Arial"/>
          <w:color w:val="1F3864" w:themeColor="accent5" w:themeShade="80"/>
          <w:sz w:val="24"/>
          <w:szCs w:val="24"/>
          <w:lang w:val="en-US" w:eastAsia="el-GR"/>
        </w:rPr>
      </w:pPr>
      <w:r w:rsidRPr="001851DB">
        <w:rPr>
          <w:rFonts w:ascii="Arial" w:hAnsi="Arial" w:cs="Arial"/>
          <w:color w:val="1F3864" w:themeColor="accent5" w:themeShade="80"/>
          <w:sz w:val="24"/>
          <w:szCs w:val="24"/>
          <w:lang w:val="en-US" w:eastAsia="el-GR"/>
        </w:rPr>
        <w:t>Información:</w:t>
      </w:r>
    </w:p>
    <w:p w:rsidR="00BA57BA" w:rsidRPr="001851DB" w:rsidRDefault="00BA57BA" w:rsidP="001851DB">
      <w:pPr>
        <w:spacing w:line="240" w:lineRule="auto"/>
        <w:jc w:val="both"/>
        <w:rPr>
          <w:rFonts w:ascii="Arial" w:hAnsi="Arial" w:cs="Arial"/>
          <w:color w:val="1F3864" w:themeColor="accent5" w:themeShade="80"/>
          <w:sz w:val="24"/>
          <w:szCs w:val="24"/>
          <w:lang w:val="en-US" w:eastAsia="el-GR"/>
        </w:rPr>
      </w:pPr>
      <w:proofErr w:type="spellStart"/>
      <w:r w:rsidRPr="001851DB">
        <w:rPr>
          <w:rFonts w:ascii="Arial" w:hAnsi="Arial" w:cs="Arial"/>
          <w:color w:val="1F3864" w:themeColor="accent5" w:themeShade="80"/>
          <w:sz w:val="24"/>
          <w:szCs w:val="24"/>
          <w:lang w:val="en-US" w:eastAsia="el-GR"/>
        </w:rPr>
        <w:t>Eleni</w:t>
      </w:r>
      <w:proofErr w:type="spellEnd"/>
      <w:r w:rsidRPr="001851DB">
        <w:rPr>
          <w:rFonts w:ascii="Arial" w:hAnsi="Arial" w:cs="Arial"/>
          <w:color w:val="1F3864" w:themeColor="accent5" w:themeShade="80"/>
          <w:sz w:val="24"/>
          <w:szCs w:val="24"/>
          <w:lang w:val="en-US" w:eastAsia="el-GR"/>
        </w:rPr>
        <w:t xml:space="preserve"> </w:t>
      </w:r>
      <w:proofErr w:type="spellStart"/>
      <w:r w:rsidRPr="001851DB">
        <w:rPr>
          <w:rFonts w:ascii="Arial" w:hAnsi="Arial" w:cs="Arial"/>
          <w:color w:val="1F3864" w:themeColor="accent5" w:themeShade="80"/>
          <w:sz w:val="24"/>
          <w:szCs w:val="24"/>
          <w:lang w:val="en-US" w:eastAsia="el-GR"/>
        </w:rPr>
        <w:t>Maráki</w:t>
      </w:r>
      <w:proofErr w:type="spellEnd"/>
      <w:r w:rsidRPr="001851DB">
        <w:rPr>
          <w:rFonts w:ascii="Arial" w:hAnsi="Arial" w:cs="Arial"/>
          <w:color w:val="1F3864" w:themeColor="accent5" w:themeShade="80"/>
          <w:sz w:val="24"/>
          <w:szCs w:val="24"/>
          <w:lang w:val="en-US" w:eastAsia="el-GR"/>
        </w:rPr>
        <w:t>, tel. 6942558286</w:t>
      </w:r>
    </w:p>
    <w:p w:rsidR="006D791C" w:rsidRPr="001851DB" w:rsidRDefault="00BA57BA" w:rsidP="001851DB">
      <w:pPr>
        <w:spacing w:line="240" w:lineRule="auto"/>
        <w:jc w:val="both"/>
        <w:rPr>
          <w:rFonts w:ascii="Arial" w:hAnsi="Arial" w:cs="Arial"/>
          <w:color w:val="1F3864" w:themeColor="accent5" w:themeShade="80"/>
          <w:sz w:val="24"/>
          <w:szCs w:val="24"/>
          <w:lang w:eastAsia="el-GR"/>
        </w:rPr>
      </w:pPr>
      <w:r w:rsidRPr="001851DB">
        <w:rPr>
          <w:rFonts w:ascii="Arial" w:hAnsi="Arial" w:cs="Arial"/>
          <w:color w:val="1F3864" w:themeColor="accent5" w:themeShade="80"/>
          <w:sz w:val="24"/>
          <w:szCs w:val="24"/>
          <w:lang w:eastAsia="el-GR"/>
        </w:rPr>
        <w:t>Zafirula Marináki, tel. 6936280850</w:t>
      </w:r>
    </w:p>
    <w:p w:rsidR="006D791C" w:rsidRDefault="006D791C" w:rsidP="001851DB">
      <w:pPr>
        <w:spacing w:line="360" w:lineRule="auto"/>
        <w:jc w:val="both"/>
        <w:rPr>
          <w:rFonts w:ascii="Arial" w:hAnsi="Arial" w:cs="Arial"/>
          <w:sz w:val="24"/>
          <w:szCs w:val="24"/>
        </w:rPr>
      </w:pPr>
    </w:p>
    <w:p w:rsidR="00D17A20" w:rsidRPr="00D17A20" w:rsidRDefault="00D17A20" w:rsidP="001851DB">
      <w:pPr>
        <w:spacing w:line="360" w:lineRule="auto"/>
        <w:ind w:left="4956"/>
        <w:jc w:val="both"/>
        <w:rPr>
          <w:rFonts w:ascii="Arial" w:hAnsi="Arial" w:cs="Arial"/>
          <w:sz w:val="24"/>
          <w:szCs w:val="24"/>
        </w:rPr>
      </w:pPr>
      <w:r w:rsidRPr="00D17A20">
        <w:rPr>
          <w:rFonts w:ascii="Arial" w:hAnsi="Arial" w:cs="Arial"/>
          <w:sz w:val="24"/>
          <w:szCs w:val="24"/>
        </w:rPr>
        <w:t>Heraclión, 15 de noviembre de 2022</w:t>
      </w:r>
    </w:p>
    <w:p w:rsidR="00D17A20" w:rsidRPr="001851DB" w:rsidRDefault="001851DB" w:rsidP="002B4336">
      <w:pPr>
        <w:spacing w:line="360" w:lineRule="auto"/>
        <w:jc w:val="center"/>
        <w:rPr>
          <w:rFonts w:ascii="Times New Roman" w:eastAsia="Times New Roman" w:hAnsi="Times New Roman" w:cs="Times New Roman"/>
          <w:b/>
          <w:spacing w:val="20"/>
          <w:sz w:val="28"/>
          <w:szCs w:val="28"/>
          <w:lang w:eastAsia="el-GR"/>
        </w:rPr>
      </w:pPr>
      <w:r w:rsidRPr="001851DB">
        <w:rPr>
          <w:rFonts w:ascii="Times New Roman" w:eastAsia="Times New Roman" w:hAnsi="Times New Roman" w:cs="Times New Roman"/>
          <w:b/>
          <w:spacing w:val="20"/>
          <w:sz w:val="28"/>
          <w:szCs w:val="28"/>
          <w:lang w:eastAsia="el-GR"/>
        </w:rPr>
        <w:t>1er aviso</w:t>
      </w:r>
    </w:p>
    <w:p w:rsidR="00D17A20" w:rsidRPr="001851DB" w:rsidRDefault="00D17A20" w:rsidP="002B4336">
      <w:pPr>
        <w:spacing w:line="360" w:lineRule="auto"/>
        <w:jc w:val="center"/>
        <w:rPr>
          <w:rFonts w:ascii="Times New Roman" w:eastAsia="Times New Roman" w:hAnsi="Times New Roman" w:cs="Times New Roman"/>
          <w:b/>
          <w:spacing w:val="20"/>
          <w:sz w:val="28"/>
          <w:szCs w:val="28"/>
          <w:lang w:val="en-US" w:eastAsia="el-GR"/>
        </w:rPr>
      </w:pPr>
      <w:r w:rsidRPr="001851DB">
        <w:rPr>
          <w:rFonts w:ascii="Times New Roman" w:eastAsia="Times New Roman" w:hAnsi="Times New Roman" w:cs="Times New Roman"/>
          <w:b/>
          <w:spacing w:val="20"/>
          <w:sz w:val="28"/>
          <w:szCs w:val="28"/>
          <w:lang w:val="en-US" w:eastAsia="el-GR"/>
        </w:rPr>
        <w:t>IX CONGRESO CIENTÍFICO INTERNACIONAL</w:t>
      </w:r>
    </w:p>
    <w:p w:rsidR="00D17A20" w:rsidRPr="002B4336" w:rsidRDefault="00D17A20" w:rsidP="002B4336">
      <w:pPr>
        <w:spacing w:line="360" w:lineRule="auto"/>
        <w:jc w:val="center"/>
        <w:rPr>
          <w:rFonts w:ascii="Arial" w:hAnsi="Arial" w:cs="Arial"/>
          <w:b/>
          <w:sz w:val="24"/>
          <w:szCs w:val="24"/>
        </w:rPr>
      </w:pPr>
      <w:r w:rsidRPr="002B4336">
        <w:rPr>
          <w:rFonts w:ascii="Arial" w:hAnsi="Arial" w:cs="Arial"/>
          <w:b/>
          <w:sz w:val="24"/>
          <w:szCs w:val="24"/>
        </w:rPr>
        <w:t>CIUDADANÍA, EDUCACIÓN Y PARTICIPACIÓN POLÍTICA</w:t>
      </w:r>
    </w:p>
    <w:p w:rsidR="00D17A20" w:rsidRPr="002B4336" w:rsidRDefault="00D17A20" w:rsidP="002B4336">
      <w:pPr>
        <w:spacing w:line="360" w:lineRule="auto"/>
        <w:jc w:val="center"/>
        <w:rPr>
          <w:rFonts w:ascii="Arial" w:hAnsi="Arial" w:cs="Arial"/>
          <w:b/>
          <w:sz w:val="24"/>
          <w:szCs w:val="24"/>
        </w:rPr>
      </w:pPr>
      <w:r w:rsidRPr="002B4336">
        <w:rPr>
          <w:rFonts w:ascii="Arial" w:hAnsi="Arial" w:cs="Arial"/>
          <w:b/>
          <w:sz w:val="24"/>
          <w:szCs w:val="24"/>
        </w:rPr>
        <w:t>Formando ciudadanos activos en la er</w:t>
      </w:r>
      <w:r w:rsidR="002B4336" w:rsidRPr="002B4336">
        <w:rPr>
          <w:rFonts w:ascii="Arial" w:hAnsi="Arial" w:cs="Arial"/>
          <w:b/>
          <w:sz w:val="24"/>
          <w:szCs w:val="24"/>
        </w:rPr>
        <w:t>a de la inteligencia artificial</w:t>
      </w:r>
    </w:p>
    <w:p w:rsidR="00D17A20" w:rsidRPr="00057CB5" w:rsidRDefault="00D17A20" w:rsidP="00057CB5">
      <w:pPr>
        <w:spacing w:line="360" w:lineRule="auto"/>
        <w:jc w:val="center"/>
        <w:rPr>
          <w:rFonts w:ascii="Arial" w:hAnsi="Arial" w:cs="Arial"/>
          <w:b/>
          <w:sz w:val="24"/>
          <w:szCs w:val="24"/>
        </w:rPr>
      </w:pPr>
      <w:r w:rsidRPr="002B4336">
        <w:rPr>
          <w:rFonts w:ascii="Arial" w:hAnsi="Arial" w:cs="Arial"/>
          <w:b/>
          <w:sz w:val="24"/>
          <w:szCs w:val="24"/>
        </w:rPr>
        <w:t>Heraclión, 26-28 de mayo de 2023</w:t>
      </w:r>
    </w:p>
    <w:p w:rsidR="00885CC1" w:rsidRPr="00885CC1" w:rsidRDefault="00885CC1" w:rsidP="001851DB">
      <w:pPr>
        <w:spacing w:line="240" w:lineRule="auto"/>
        <w:jc w:val="both"/>
        <w:rPr>
          <w:rFonts w:ascii="Arial" w:hAnsi="Arial" w:cs="Arial"/>
          <w:sz w:val="24"/>
          <w:szCs w:val="24"/>
        </w:rPr>
      </w:pPr>
      <w:r w:rsidRPr="00885CC1">
        <w:rPr>
          <w:rFonts w:ascii="Arial" w:hAnsi="Arial" w:cs="Arial"/>
          <w:sz w:val="24"/>
          <w:szCs w:val="24"/>
        </w:rPr>
        <w:t xml:space="preserve">El Instituto de Humanidades y Ciencias Sociales, luego de la exitosa organización de ocho congresos panhelénicos/internacionales, </w:t>
      </w:r>
      <w:r w:rsidR="006D791C">
        <w:rPr>
          <w:rFonts w:ascii="Arial" w:hAnsi="Arial" w:cs="Arial"/>
          <w:sz w:val="24"/>
          <w:szCs w:val="24"/>
        </w:rPr>
        <w:t>nos es muy grato</w:t>
      </w:r>
      <w:r w:rsidRPr="00885CC1">
        <w:rPr>
          <w:rFonts w:ascii="Arial" w:hAnsi="Arial" w:cs="Arial"/>
          <w:sz w:val="24"/>
          <w:szCs w:val="24"/>
        </w:rPr>
        <w:t xml:space="preserve"> anunciar a sus miembros, asociados, amigos, a la comunidad científica y educativa y a cualquier parte interesada, que </w:t>
      </w:r>
      <w:r>
        <w:rPr>
          <w:rFonts w:ascii="Arial" w:hAnsi="Arial" w:cs="Arial"/>
          <w:sz w:val="24"/>
          <w:szCs w:val="24"/>
        </w:rPr>
        <w:t>ya programa la organización de</w:t>
      </w:r>
      <w:r w:rsidRPr="00885CC1">
        <w:rPr>
          <w:rFonts w:ascii="Arial" w:hAnsi="Arial" w:cs="Arial"/>
          <w:sz w:val="24"/>
          <w:szCs w:val="24"/>
        </w:rPr>
        <w:t>l</w:t>
      </w:r>
      <w:r>
        <w:rPr>
          <w:rFonts w:ascii="Arial" w:hAnsi="Arial" w:cs="Arial"/>
          <w:sz w:val="24"/>
          <w:szCs w:val="24"/>
        </w:rPr>
        <w:t xml:space="preserve"> 9º</w:t>
      </w:r>
      <w:r w:rsidRPr="00885CC1">
        <w:rPr>
          <w:rFonts w:ascii="Arial" w:hAnsi="Arial" w:cs="Arial"/>
          <w:sz w:val="24"/>
          <w:szCs w:val="24"/>
        </w:rPr>
        <w:t xml:space="preserve"> </w:t>
      </w:r>
      <w:r>
        <w:rPr>
          <w:rFonts w:ascii="Arial" w:hAnsi="Arial" w:cs="Arial"/>
          <w:sz w:val="24"/>
          <w:szCs w:val="24"/>
        </w:rPr>
        <w:t>Congreso Científico</w:t>
      </w:r>
      <w:r w:rsidRPr="00885CC1">
        <w:rPr>
          <w:rFonts w:ascii="Arial" w:hAnsi="Arial" w:cs="Arial"/>
          <w:sz w:val="24"/>
          <w:szCs w:val="24"/>
        </w:rPr>
        <w:t xml:space="preserve"> Internacional sobre el tema central:</w:t>
      </w:r>
    </w:p>
    <w:p w:rsidR="00885CC1" w:rsidRPr="00885CC1" w:rsidRDefault="00885CC1" w:rsidP="001851DB">
      <w:pPr>
        <w:spacing w:line="240" w:lineRule="auto"/>
        <w:jc w:val="both"/>
        <w:rPr>
          <w:rFonts w:ascii="Arial" w:hAnsi="Arial" w:cs="Arial"/>
          <w:sz w:val="24"/>
          <w:szCs w:val="24"/>
        </w:rPr>
      </w:pPr>
    </w:p>
    <w:p w:rsidR="00885CC1" w:rsidRPr="001851DB" w:rsidRDefault="00885CC1" w:rsidP="001851DB">
      <w:pPr>
        <w:spacing w:line="240" w:lineRule="auto"/>
        <w:jc w:val="center"/>
        <w:rPr>
          <w:rFonts w:ascii="Arial" w:hAnsi="Arial" w:cs="Arial"/>
          <w:b/>
          <w:i/>
          <w:sz w:val="24"/>
          <w:szCs w:val="24"/>
        </w:rPr>
      </w:pPr>
      <w:r w:rsidRPr="001851DB">
        <w:rPr>
          <w:rFonts w:ascii="Arial" w:hAnsi="Arial" w:cs="Arial"/>
          <w:b/>
          <w:i/>
          <w:sz w:val="24"/>
          <w:szCs w:val="24"/>
        </w:rPr>
        <w:t>CIUDADANÍA, EDUCACIÓN Y PARTICIPACIÓN POLÍTICA</w:t>
      </w:r>
    </w:p>
    <w:p w:rsidR="00885CC1" w:rsidRDefault="00885CC1" w:rsidP="001851DB">
      <w:pPr>
        <w:spacing w:line="240" w:lineRule="auto"/>
        <w:jc w:val="center"/>
        <w:rPr>
          <w:rFonts w:ascii="Arial" w:hAnsi="Arial" w:cs="Arial"/>
          <w:b/>
          <w:i/>
          <w:sz w:val="24"/>
          <w:szCs w:val="24"/>
        </w:rPr>
      </w:pPr>
      <w:r w:rsidRPr="001851DB">
        <w:rPr>
          <w:rFonts w:ascii="Arial" w:hAnsi="Arial" w:cs="Arial"/>
          <w:b/>
          <w:i/>
          <w:sz w:val="24"/>
          <w:szCs w:val="24"/>
        </w:rPr>
        <w:t>Formando ciudadanos activos en la era de la inteligencia artificial</w:t>
      </w:r>
    </w:p>
    <w:p w:rsidR="001851DB" w:rsidRPr="001851DB" w:rsidRDefault="001851DB" w:rsidP="001851DB">
      <w:pPr>
        <w:spacing w:line="240" w:lineRule="auto"/>
        <w:jc w:val="center"/>
        <w:rPr>
          <w:rFonts w:ascii="Arial" w:hAnsi="Arial" w:cs="Arial"/>
          <w:b/>
          <w:i/>
          <w:sz w:val="24"/>
          <w:szCs w:val="24"/>
        </w:rPr>
      </w:pPr>
    </w:p>
    <w:p w:rsidR="00057CB5" w:rsidRDefault="00057CB5" w:rsidP="001851DB">
      <w:pPr>
        <w:spacing w:line="240" w:lineRule="auto"/>
        <w:jc w:val="both"/>
        <w:rPr>
          <w:rFonts w:ascii="Arial" w:hAnsi="Arial" w:cs="Arial"/>
          <w:b/>
          <w:i/>
          <w:sz w:val="24"/>
          <w:szCs w:val="24"/>
        </w:rPr>
      </w:pPr>
    </w:p>
    <w:p w:rsidR="00057CB5" w:rsidRDefault="00057CB5" w:rsidP="001851DB">
      <w:pPr>
        <w:spacing w:line="240" w:lineRule="auto"/>
        <w:jc w:val="both"/>
        <w:rPr>
          <w:rFonts w:ascii="Arial" w:hAnsi="Arial" w:cs="Arial"/>
          <w:b/>
          <w:i/>
          <w:sz w:val="24"/>
          <w:szCs w:val="24"/>
        </w:rPr>
      </w:pPr>
    </w:p>
    <w:p w:rsidR="00057CB5" w:rsidRDefault="00057CB5" w:rsidP="001851DB">
      <w:pPr>
        <w:spacing w:line="240" w:lineRule="auto"/>
        <w:jc w:val="both"/>
        <w:rPr>
          <w:rFonts w:ascii="Arial" w:hAnsi="Arial" w:cs="Arial"/>
          <w:b/>
          <w:i/>
          <w:sz w:val="24"/>
          <w:szCs w:val="24"/>
        </w:rPr>
      </w:pPr>
    </w:p>
    <w:p w:rsidR="00885CC1" w:rsidRPr="001851DB" w:rsidRDefault="00885CC1" w:rsidP="001851DB">
      <w:pPr>
        <w:spacing w:line="240" w:lineRule="auto"/>
        <w:jc w:val="both"/>
        <w:rPr>
          <w:rFonts w:ascii="Arial" w:hAnsi="Arial" w:cs="Arial"/>
          <w:b/>
          <w:i/>
          <w:sz w:val="24"/>
          <w:szCs w:val="24"/>
        </w:rPr>
      </w:pPr>
      <w:r w:rsidRPr="001851DB">
        <w:rPr>
          <w:rFonts w:ascii="Arial" w:hAnsi="Arial" w:cs="Arial"/>
          <w:b/>
          <w:i/>
          <w:sz w:val="24"/>
          <w:szCs w:val="24"/>
        </w:rPr>
        <w:t>PROBLEMÁTICA DEL TEMA PRINCIPAL</w:t>
      </w:r>
    </w:p>
    <w:p w:rsidR="00885CC1" w:rsidRPr="00885CC1" w:rsidRDefault="000B1CC5" w:rsidP="001851DB">
      <w:pPr>
        <w:spacing w:line="276" w:lineRule="auto"/>
        <w:jc w:val="both"/>
        <w:rPr>
          <w:rFonts w:ascii="Arial" w:hAnsi="Arial" w:cs="Arial"/>
          <w:sz w:val="24"/>
          <w:szCs w:val="24"/>
        </w:rPr>
      </w:pPr>
      <w:r>
        <w:rPr>
          <w:rFonts w:ascii="Arial" w:hAnsi="Arial" w:cs="Arial"/>
          <w:sz w:val="24"/>
          <w:szCs w:val="24"/>
        </w:rPr>
        <w:t>El congreso</w:t>
      </w:r>
      <w:r w:rsidR="00885CC1" w:rsidRPr="00885CC1">
        <w:rPr>
          <w:rFonts w:ascii="Arial" w:hAnsi="Arial" w:cs="Arial"/>
          <w:sz w:val="24"/>
          <w:szCs w:val="24"/>
        </w:rPr>
        <w:t xml:space="preserve"> abarca una amplia y cohesiva </w:t>
      </w:r>
      <w:r w:rsidRPr="00885CC1">
        <w:rPr>
          <w:rFonts w:ascii="Arial" w:hAnsi="Arial" w:cs="Arial"/>
          <w:sz w:val="24"/>
          <w:szCs w:val="24"/>
        </w:rPr>
        <w:t xml:space="preserve">familia </w:t>
      </w:r>
      <w:r w:rsidR="00885CC1" w:rsidRPr="00885CC1">
        <w:rPr>
          <w:rFonts w:ascii="Arial" w:hAnsi="Arial" w:cs="Arial"/>
          <w:sz w:val="24"/>
          <w:szCs w:val="24"/>
        </w:rPr>
        <w:t>de campos y preocupaciones que giran en torno al concepto crucial de ciudadanos y su participación en la comunidad política. Más específicamente, nos interesan los estudios de diferentes enfoques y actitudes sobre el papel de la identidad de los ciudadanos en los complejos sistemas políticos cotidianos y de la relación entre educación y participación política, particularmente en una era donde las nuevas tecnologías van configurando nuevos roles no solo en comunicación sino también en las relaciones de los ciudadanos con el Estado.</w:t>
      </w:r>
    </w:p>
    <w:p w:rsidR="00885CC1" w:rsidRPr="00885CC1" w:rsidRDefault="00885CC1" w:rsidP="001851DB">
      <w:pPr>
        <w:spacing w:line="276" w:lineRule="auto"/>
        <w:jc w:val="both"/>
        <w:rPr>
          <w:rFonts w:ascii="Arial" w:hAnsi="Arial" w:cs="Arial"/>
          <w:sz w:val="24"/>
          <w:szCs w:val="24"/>
        </w:rPr>
      </w:pPr>
      <w:r w:rsidRPr="00885CC1">
        <w:rPr>
          <w:rFonts w:ascii="Arial" w:hAnsi="Arial" w:cs="Arial"/>
          <w:sz w:val="24"/>
          <w:szCs w:val="24"/>
        </w:rPr>
        <w:t>La identidad del ciudadano o ciudadanía es a la vez una identidad jurídica y un ideal político que se realiza con la imprescindible implicación en la comunidad política. El pensamiento político moderno tiende a poner énfasis en la identidad del ciudadano como una cuestión de derechos: los ciudadanos tienen derecho a participar pero también tienen derecho a elegir un grado de alejamiento relevante de los asuntos públicos, incluso a colocar sus</w:t>
      </w:r>
      <w:r w:rsidR="006D791C">
        <w:rPr>
          <w:rFonts w:ascii="Arial" w:hAnsi="Arial" w:cs="Arial"/>
          <w:sz w:val="24"/>
          <w:szCs w:val="24"/>
        </w:rPr>
        <w:t xml:space="preserve"> propias preocupaciones</w:t>
      </w:r>
      <w:r w:rsidRPr="00885CC1">
        <w:rPr>
          <w:rFonts w:ascii="Arial" w:hAnsi="Arial" w:cs="Arial"/>
          <w:sz w:val="24"/>
          <w:szCs w:val="24"/>
        </w:rPr>
        <w:t xml:space="preserve"> por encima del compromiso público y la participación política. Sin embargo, a medida que las corrientes liberales tendieron a dar cada vez más énfasis a estas características de los enfoques modernos de la identidad ciudadana, paulatinamente comenzaron a señalarse una serie de enfoques críticos y yuxtaposiciones. A través de estos enfoques, estamos llamados a revalorizar aspectos de las teorías políticas clásicas, renacentistas y modernas que juzgan el abandono de los deberes políticos y destacan la importancia crucial de los ciudadanos activos.</w:t>
      </w:r>
    </w:p>
    <w:p w:rsidR="00885CC1" w:rsidRPr="00885CC1" w:rsidRDefault="00885CC1" w:rsidP="001851DB">
      <w:pPr>
        <w:spacing w:line="276" w:lineRule="auto"/>
        <w:jc w:val="both"/>
        <w:rPr>
          <w:rFonts w:ascii="Arial" w:hAnsi="Arial" w:cs="Arial"/>
          <w:sz w:val="24"/>
          <w:szCs w:val="24"/>
        </w:rPr>
      </w:pPr>
      <w:r w:rsidRPr="00885CC1">
        <w:rPr>
          <w:rFonts w:ascii="Arial" w:hAnsi="Arial" w:cs="Arial"/>
          <w:sz w:val="24"/>
          <w:szCs w:val="24"/>
        </w:rPr>
        <w:t>Al mismo tiempo, las nuevas tecnologías, la gobernanza digital y, en general, la inteligencia artificial desempeñan un papel constantemente importante en el curso social y de desarrollo actual, pero también, potencialmente, en formas de participación política. Las personas, cada vez más, tienen expectativas por el desarrollo de la inteligencia artificial y su ingreso a su vida cotidiana, a pesar de que muchas veces se expresan temores y preocupaciones por la perspectiva incontenible e incierta que se forma en lo social, cultural pero</w:t>
      </w:r>
      <w:r w:rsidR="00D17737">
        <w:rPr>
          <w:rFonts w:ascii="Arial" w:hAnsi="Arial" w:cs="Arial"/>
          <w:sz w:val="24"/>
          <w:szCs w:val="24"/>
        </w:rPr>
        <w:t xml:space="preserve"> principalmente en lo social, a</w:t>
      </w:r>
      <w:r w:rsidRPr="00885CC1">
        <w:rPr>
          <w:rFonts w:ascii="Arial" w:hAnsi="Arial" w:cs="Arial"/>
          <w:sz w:val="24"/>
          <w:szCs w:val="24"/>
        </w:rPr>
        <w:t xml:space="preserve"> nivel político, en relación con las tendencias liberales o autoritarias en diferentes sistemas políticos.</w:t>
      </w:r>
    </w:p>
    <w:p w:rsidR="00D17A20" w:rsidRDefault="00885CC1" w:rsidP="001851DB">
      <w:pPr>
        <w:spacing w:line="276" w:lineRule="auto"/>
        <w:jc w:val="both"/>
        <w:rPr>
          <w:rFonts w:ascii="Arial" w:hAnsi="Arial" w:cs="Arial"/>
          <w:sz w:val="24"/>
          <w:szCs w:val="24"/>
        </w:rPr>
      </w:pPr>
      <w:r w:rsidRPr="00885CC1">
        <w:rPr>
          <w:rFonts w:ascii="Arial" w:hAnsi="Arial" w:cs="Arial"/>
          <w:sz w:val="24"/>
          <w:szCs w:val="24"/>
        </w:rPr>
        <w:t xml:space="preserve">El objetivo básico de las IX Jornadas del Instituto de Humanidades y Estudios Sociales es la investigación crítica y el desarrollo de un diálogo científico en torno a estas materias. Tanto en las oportunidades que se presentan como en los problemas que probablemente se presenten, es realmente importante el conocimiento y la preparación de la ciudadanía en los aspectos de la convivencia con la inteligencia artificial y las nuevas relaciones que se formarán entre la </w:t>
      </w:r>
      <w:r w:rsidRPr="00885CC1">
        <w:rPr>
          <w:rFonts w:ascii="Arial" w:hAnsi="Arial" w:cs="Arial"/>
          <w:sz w:val="24"/>
          <w:szCs w:val="24"/>
        </w:rPr>
        <w:lastRenderedPageBreak/>
        <w:t>ciudadanía y el Estado. La educación, el aprendizaje y la participación política tienen muchos papeles determinantes que desempeñar en este curso.</w:t>
      </w:r>
    </w:p>
    <w:p w:rsidR="00885CC1" w:rsidRPr="00091F85" w:rsidRDefault="00885CC1" w:rsidP="001851DB">
      <w:pPr>
        <w:spacing w:line="276" w:lineRule="auto"/>
        <w:jc w:val="both"/>
        <w:rPr>
          <w:rFonts w:ascii="Arial" w:hAnsi="Arial" w:cs="Arial"/>
          <w:b/>
          <w:sz w:val="24"/>
          <w:szCs w:val="24"/>
        </w:rPr>
      </w:pPr>
      <w:r w:rsidRPr="00091F85">
        <w:rPr>
          <w:rFonts w:ascii="Arial" w:hAnsi="Arial" w:cs="Arial"/>
          <w:b/>
          <w:sz w:val="24"/>
          <w:szCs w:val="24"/>
        </w:rPr>
        <w:t>ÁREAS TEMÁTICAS DEL CONGRESO</w:t>
      </w:r>
    </w:p>
    <w:p w:rsidR="00885CC1" w:rsidRPr="00885CC1" w:rsidRDefault="00885CC1" w:rsidP="001851DB">
      <w:pPr>
        <w:spacing w:line="276" w:lineRule="auto"/>
        <w:jc w:val="both"/>
        <w:rPr>
          <w:rFonts w:ascii="Arial" w:hAnsi="Arial" w:cs="Arial"/>
          <w:sz w:val="24"/>
          <w:szCs w:val="24"/>
        </w:rPr>
      </w:pPr>
      <w:r w:rsidRPr="00885CC1">
        <w:rPr>
          <w:rFonts w:ascii="Arial" w:hAnsi="Arial" w:cs="Arial"/>
          <w:sz w:val="24"/>
          <w:szCs w:val="24"/>
        </w:rPr>
        <w:t xml:space="preserve">Teniendo como punto de partida el tema central, el Congreso </w:t>
      </w:r>
      <w:r w:rsidR="00D17737">
        <w:rPr>
          <w:rFonts w:ascii="Arial" w:hAnsi="Arial" w:cs="Arial"/>
          <w:sz w:val="24"/>
          <w:szCs w:val="24"/>
        </w:rPr>
        <w:t>enfoca</w:t>
      </w:r>
      <w:r w:rsidRPr="00885CC1">
        <w:rPr>
          <w:rFonts w:ascii="Arial" w:hAnsi="Arial" w:cs="Arial"/>
          <w:sz w:val="24"/>
          <w:szCs w:val="24"/>
        </w:rPr>
        <w:t xml:space="preserve"> su interés en las siguientes áreas temáticas, sin excluir todas aquellas áreas que proceden de su título general:</w:t>
      </w:r>
    </w:p>
    <w:p w:rsidR="00885CC1" w:rsidRPr="00885CC1" w:rsidRDefault="00885CC1" w:rsidP="00885CC1">
      <w:pPr>
        <w:spacing w:line="360" w:lineRule="auto"/>
        <w:jc w:val="both"/>
        <w:rPr>
          <w:rFonts w:ascii="Arial" w:hAnsi="Arial" w:cs="Arial"/>
          <w:sz w:val="24"/>
          <w:szCs w:val="24"/>
        </w:rPr>
      </w:pPr>
      <w:r w:rsidRPr="00885CC1">
        <w:rPr>
          <w:rFonts w:ascii="Arial" w:hAnsi="Arial" w:cs="Arial"/>
          <w:sz w:val="24"/>
          <w:szCs w:val="24"/>
        </w:rPr>
        <w:t>Vida social, política y económica.</w:t>
      </w:r>
    </w:p>
    <w:p w:rsidR="00885CC1" w:rsidRPr="00885CC1" w:rsidRDefault="00885CC1" w:rsidP="00057CB5">
      <w:pPr>
        <w:spacing w:after="0" w:line="276" w:lineRule="auto"/>
        <w:ind w:firstLine="567"/>
        <w:rPr>
          <w:rFonts w:ascii="Arial" w:hAnsi="Arial" w:cs="Arial"/>
          <w:sz w:val="24"/>
          <w:szCs w:val="24"/>
        </w:rPr>
      </w:pPr>
      <w:r w:rsidRPr="00885CC1">
        <w:rPr>
          <w:rFonts w:ascii="Arial" w:hAnsi="Arial" w:cs="Arial"/>
          <w:sz w:val="24"/>
          <w:szCs w:val="24"/>
        </w:rPr>
        <w:t>• Inteligencia artificial y aspectos de mejora de la participación política</w:t>
      </w:r>
    </w:p>
    <w:p w:rsidR="00885CC1" w:rsidRPr="00885CC1" w:rsidRDefault="00885CC1" w:rsidP="00057CB5">
      <w:pPr>
        <w:spacing w:after="0" w:line="276" w:lineRule="auto"/>
        <w:ind w:firstLine="567"/>
        <w:rPr>
          <w:rFonts w:ascii="Arial" w:hAnsi="Arial" w:cs="Arial"/>
          <w:sz w:val="24"/>
          <w:szCs w:val="24"/>
        </w:rPr>
      </w:pPr>
      <w:r w:rsidRPr="00885CC1">
        <w:rPr>
          <w:rFonts w:ascii="Arial" w:hAnsi="Arial" w:cs="Arial"/>
          <w:sz w:val="24"/>
          <w:szCs w:val="24"/>
        </w:rPr>
        <w:t>• Identidad del ciudadano y participación política en Grecia y en Europa</w:t>
      </w:r>
    </w:p>
    <w:p w:rsidR="00885CC1" w:rsidRPr="00885CC1" w:rsidRDefault="00885CC1" w:rsidP="00057CB5">
      <w:pPr>
        <w:spacing w:after="0" w:line="276" w:lineRule="auto"/>
        <w:ind w:firstLine="567"/>
        <w:rPr>
          <w:rFonts w:ascii="Arial" w:hAnsi="Arial" w:cs="Arial"/>
          <w:sz w:val="24"/>
          <w:szCs w:val="24"/>
        </w:rPr>
      </w:pPr>
      <w:r w:rsidRPr="00885CC1">
        <w:rPr>
          <w:rFonts w:ascii="Arial" w:hAnsi="Arial" w:cs="Arial"/>
          <w:sz w:val="24"/>
          <w:szCs w:val="24"/>
        </w:rPr>
        <w:t>• Gobernanza digital y derechos ciudadanos</w:t>
      </w:r>
    </w:p>
    <w:p w:rsidR="00885CC1" w:rsidRPr="00885CC1" w:rsidRDefault="00885CC1" w:rsidP="00057CB5">
      <w:pPr>
        <w:spacing w:after="0" w:line="276" w:lineRule="auto"/>
        <w:ind w:firstLine="567"/>
        <w:rPr>
          <w:rFonts w:ascii="Arial" w:hAnsi="Arial" w:cs="Arial"/>
          <w:sz w:val="24"/>
          <w:szCs w:val="24"/>
        </w:rPr>
      </w:pPr>
      <w:r w:rsidRPr="00885CC1">
        <w:rPr>
          <w:rFonts w:ascii="Arial" w:hAnsi="Arial" w:cs="Arial"/>
          <w:sz w:val="24"/>
          <w:szCs w:val="24"/>
        </w:rPr>
        <w:t>• Inteligencia artificial y estado liberal</w:t>
      </w:r>
    </w:p>
    <w:p w:rsidR="00885CC1" w:rsidRPr="00885CC1" w:rsidRDefault="00885CC1" w:rsidP="00057CB5">
      <w:pPr>
        <w:spacing w:after="0" w:line="276" w:lineRule="auto"/>
        <w:ind w:firstLine="567"/>
        <w:rPr>
          <w:rFonts w:ascii="Arial" w:hAnsi="Arial" w:cs="Arial"/>
          <w:sz w:val="24"/>
          <w:szCs w:val="24"/>
        </w:rPr>
      </w:pPr>
      <w:r w:rsidRPr="00885CC1">
        <w:rPr>
          <w:rFonts w:ascii="Arial" w:hAnsi="Arial" w:cs="Arial"/>
          <w:sz w:val="24"/>
          <w:szCs w:val="24"/>
        </w:rPr>
        <w:t>• Inteligencia artificial y regímenes arbitrarios</w:t>
      </w:r>
    </w:p>
    <w:p w:rsidR="00885CC1" w:rsidRPr="00885CC1" w:rsidRDefault="00885CC1" w:rsidP="00057CB5">
      <w:pPr>
        <w:spacing w:after="0" w:line="276" w:lineRule="auto"/>
        <w:ind w:firstLine="567"/>
        <w:rPr>
          <w:rFonts w:ascii="Arial" w:hAnsi="Arial" w:cs="Arial"/>
          <w:sz w:val="24"/>
          <w:szCs w:val="24"/>
        </w:rPr>
      </w:pPr>
      <w:r w:rsidRPr="00885CC1">
        <w:rPr>
          <w:rFonts w:ascii="Arial" w:hAnsi="Arial" w:cs="Arial"/>
          <w:sz w:val="24"/>
          <w:szCs w:val="24"/>
        </w:rPr>
        <w:t>• Estudios del impacto de la emigración en los planteamientos de ciudadanía</w:t>
      </w:r>
    </w:p>
    <w:p w:rsidR="00885CC1" w:rsidRPr="00885CC1" w:rsidRDefault="00885CC1" w:rsidP="00057CB5">
      <w:pPr>
        <w:spacing w:after="0" w:line="276" w:lineRule="auto"/>
        <w:ind w:firstLine="567"/>
        <w:rPr>
          <w:rFonts w:ascii="Arial" w:hAnsi="Arial" w:cs="Arial"/>
          <w:sz w:val="24"/>
          <w:szCs w:val="24"/>
        </w:rPr>
      </w:pPr>
      <w:r w:rsidRPr="00885CC1">
        <w:rPr>
          <w:rFonts w:ascii="Arial" w:hAnsi="Arial" w:cs="Arial"/>
          <w:sz w:val="24"/>
          <w:szCs w:val="24"/>
        </w:rPr>
        <w:t>• Diferentes modelos experienciales de adquisición de ciudadanía</w:t>
      </w:r>
    </w:p>
    <w:p w:rsidR="00885CC1" w:rsidRPr="00885CC1" w:rsidRDefault="00885CC1" w:rsidP="00057CB5">
      <w:pPr>
        <w:spacing w:after="0" w:line="276" w:lineRule="auto"/>
        <w:ind w:left="567"/>
        <w:rPr>
          <w:rFonts w:ascii="Arial" w:hAnsi="Arial" w:cs="Arial"/>
          <w:sz w:val="24"/>
          <w:szCs w:val="24"/>
        </w:rPr>
      </w:pPr>
      <w:r w:rsidRPr="00885CC1">
        <w:rPr>
          <w:rFonts w:ascii="Arial" w:hAnsi="Arial" w:cs="Arial"/>
          <w:sz w:val="24"/>
          <w:szCs w:val="24"/>
        </w:rPr>
        <w:t xml:space="preserve">• Los roles y la influencia del civismo de los ciudadanos – análisis </w:t>
      </w:r>
      <w:r w:rsidR="00057CB5" w:rsidRPr="00057CB5">
        <w:rPr>
          <w:rFonts w:ascii="Arial" w:hAnsi="Arial" w:cs="Arial"/>
          <w:sz w:val="24"/>
          <w:szCs w:val="24"/>
        </w:rPr>
        <w:t xml:space="preserve"> </w:t>
      </w:r>
      <w:r w:rsidRPr="00885CC1">
        <w:rPr>
          <w:rFonts w:ascii="Arial" w:hAnsi="Arial" w:cs="Arial"/>
          <w:sz w:val="24"/>
          <w:szCs w:val="24"/>
        </w:rPr>
        <w:t>comparativo</w:t>
      </w:r>
    </w:p>
    <w:p w:rsidR="00885CC1" w:rsidRPr="00885CC1" w:rsidRDefault="00885CC1" w:rsidP="00057CB5">
      <w:pPr>
        <w:spacing w:after="0" w:line="276" w:lineRule="auto"/>
        <w:ind w:firstLine="567"/>
        <w:rPr>
          <w:rFonts w:ascii="Arial" w:hAnsi="Arial" w:cs="Arial"/>
          <w:sz w:val="24"/>
          <w:szCs w:val="24"/>
        </w:rPr>
      </w:pPr>
      <w:r w:rsidRPr="00885CC1">
        <w:rPr>
          <w:rFonts w:ascii="Arial" w:hAnsi="Arial" w:cs="Arial"/>
          <w:sz w:val="24"/>
          <w:szCs w:val="24"/>
        </w:rPr>
        <w:t>• Comunicación e información en la vida pública</w:t>
      </w:r>
    </w:p>
    <w:p w:rsidR="00885CC1" w:rsidRPr="00885CC1" w:rsidRDefault="00885CC1" w:rsidP="00057CB5">
      <w:pPr>
        <w:spacing w:after="0" w:line="276" w:lineRule="auto"/>
        <w:ind w:firstLine="567"/>
        <w:rPr>
          <w:rFonts w:ascii="Arial" w:hAnsi="Arial" w:cs="Arial"/>
          <w:sz w:val="24"/>
          <w:szCs w:val="24"/>
        </w:rPr>
      </w:pPr>
      <w:r w:rsidRPr="00885CC1">
        <w:rPr>
          <w:rFonts w:ascii="Arial" w:hAnsi="Arial" w:cs="Arial"/>
          <w:sz w:val="24"/>
          <w:szCs w:val="24"/>
        </w:rPr>
        <w:t>• Identidades y comunicación política</w:t>
      </w:r>
    </w:p>
    <w:p w:rsidR="00885CC1" w:rsidRPr="00885CC1" w:rsidRDefault="00885CC1" w:rsidP="00057CB5">
      <w:pPr>
        <w:spacing w:after="0" w:line="276" w:lineRule="auto"/>
        <w:ind w:firstLine="567"/>
        <w:rPr>
          <w:rFonts w:ascii="Arial" w:hAnsi="Arial" w:cs="Arial"/>
          <w:sz w:val="24"/>
          <w:szCs w:val="24"/>
        </w:rPr>
      </w:pPr>
      <w:r w:rsidRPr="00885CC1">
        <w:rPr>
          <w:rFonts w:ascii="Arial" w:hAnsi="Arial" w:cs="Arial"/>
          <w:sz w:val="24"/>
          <w:szCs w:val="24"/>
        </w:rPr>
        <w:t>• Relaciones interpersonales y comunicación</w:t>
      </w:r>
    </w:p>
    <w:p w:rsidR="00885CC1" w:rsidRPr="00885CC1" w:rsidRDefault="00885CC1" w:rsidP="00057CB5">
      <w:pPr>
        <w:spacing w:after="0" w:line="276" w:lineRule="auto"/>
        <w:ind w:firstLine="567"/>
        <w:rPr>
          <w:rFonts w:ascii="Arial" w:hAnsi="Arial" w:cs="Arial"/>
          <w:sz w:val="24"/>
          <w:szCs w:val="24"/>
        </w:rPr>
      </w:pPr>
      <w:r w:rsidRPr="00885CC1">
        <w:rPr>
          <w:rFonts w:ascii="Arial" w:hAnsi="Arial" w:cs="Arial"/>
          <w:sz w:val="24"/>
          <w:szCs w:val="24"/>
        </w:rPr>
        <w:t>• Desafíos, preocupaciones, asuntos de ética</w:t>
      </w:r>
    </w:p>
    <w:p w:rsidR="00885CC1" w:rsidRPr="00885CC1" w:rsidRDefault="00885CC1" w:rsidP="00057CB5">
      <w:pPr>
        <w:spacing w:after="0" w:line="276" w:lineRule="auto"/>
        <w:ind w:firstLine="567"/>
        <w:rPr>
          <w:rFonts w:ascii="Arial" w:hAnsi="Arial" w:cs="Arial"/>
          <w:sz w:val="24"/>
          <w:szCs w:val="24"/>
        </w:rPr>
      </w:pPr>
      <w:r w:rsidRPr="00885CC1">
        <w:rPr>
          <w:rFonts w:ascii="Arial" w:hAnsi="Arial" w:cs="Arial"/>
          <w:sz w:val="24"/>
          <w:szCs w:val="24"/>
        </w:rPr>
        <w:t xml:space="preserve">• </w:t>
      </w:r>
      <w:r w:rsidR="00091F85" w:rsidRPr="00885CC1">
        <w:rPr>
          <w:rFonts w:ascii="Arial" w:hAnsi="Arial" w:cs="Arial"/>
          <w:sz w:val="24"/>
          <w:szCs w:val="24"/>
        </w:rPr>
        <w:t>Publicásemos</w:t>
      </w:r>
      <w:r w:rsidRPr="00885CC1">
        <w:rPr>
          <w:rFonts w:ascii="Arial" w:hAnsi="Arial" w:cs="Arial"/>
          <w:sz w:val="24"/>
          <w:szCs w:val="24"/>
        </w:rPr>
        <w:t xml:space="preserve"> y política</w:t>
      </w:r>
    </w:p>
    <w:p w:rsidR="00885CC1" w:rsidRPr="00885CC1" w:rsidRDefault="00885CC1" w:rsidP="00057CB5">
      <w:pPr>
        <w:spacing w:after="0" w:line="276" w:lineRule="auto"/>
        <w:ind w:firstLine="567"/>
        <w:rPr>
          <w:rFonts w:ascii="Arial" w:hAnsi="Arial" w:cs="Arial"/>
          <w:sz w:val="24"/>
          <w:szCs w:val="24"/>
        </w:rPr>
      </w:pPr>
      <w:r w:rsidRPr="00885CC1">
        <w:rPr>
          <w:rFonts w:ascii="Arial" w:hAnsi="Arial" w:cs="Arial"/>
          <w:sz w:val="24"/>
          <w:szCs w:val="24"/>
        </w:rPr>
        <w:t>• Actualización, vocación y economía</w:t>
      </w:r>
    </w:p>
    <w:p w:rsidR="00885CC1" w:rsidRPr="00885CC1" w:rsidRDefault="00885CC1" w:rsidP="00057CB5">
      <w:pPr>
        <w:spacing w:after="0" w:line="276" w:lineRule="auto"/>
        <w:ind w:firstLine="567"/>
        <w:rPr>
          <w:rFonts w:ascii="Arial" w:hAnsi="Arial" w:cs="Arial"/>
          <w:sz w:val="24"/>
          <w:szCs w:val="24"/>
        </w:rPr>
      </w:pPr>
      <w:r w:rsidRPr="00885CC1">
        <w:rPr>
          <w:rFonts w:ascii="Arial" w:hAnsi="Arial" w:cs="Arial"/>
          <w:sz w:val="24"/>
          <w:szCs w:val="24"/>
        </w:rPr>
        <w:t>• Comunicación e información sobre cultura, arte y religión</w:t>
      </w:r>
    </w:p>
    <w:p w:rsidR="00885CC1" w:rsidRPr="00885CC1" w:rsidRDefault="00885CC1" w:rsidP="00057CB5">
      <w:pPr>
        <w:spacing w:after="0" w:line="276" w:lineRule="auto"/>
        <w:ind w:firstLine="567"/>
        <w:rPr>
          <w:rFonts w:ascii="Arial" w:hAnsi="Arial" w:cs="Arial"/>
          <w:sz w:val="24"/>
          <w:szCs w:val="24"/>
        </w:rPr>
      </w:pPr>
      <w:r w:rsidRPr="00885CC1">
        <w:rPr>
          <w:rFonts w:ascii="Arial" w:hAnsi="Arial" w:cs="Arial"/>
          <w:sz w:val="24"/>
          <w:szCs w:val="24"/>
        </w:rPr>
        <w:t>• Comunicación y entretenimiento</w:t>
      </w:r>
    </w:p>
    <w:p w:rsidR="00057CB5" w:rsidRDefault="00057CB5" w:rsidP="00885CC1">
      <w:pPr>
        <w:spacing w:line="360" w:lineRule="auto"/>
        <w:jc w:val="both"/>
        <w:rPr>
          <w:rFonts w:ascii="Arial" w:hAnsi="Arial" w:cs="Arial"/>
          <w:b/>
          <w:sz w:val="24"/>
          <w:szCs w:val="24"/>
        </w:rPr>
      </w:pPr>
    </w:p>
    <w:p w:rsidR="00885CC1" w:rsidRPr="00D17737" w:rsidRDefault="00885CC1" w:rsidP="00885CC1">
      <w:pPr>
        <w:spacing w:line="360" w:lineRule="auto"/>
        <w:jc w:val="both"/>
        <w:rPr>
          <w:rFonts w:ascii="Arial" w:hAnsi="Arial" w:cs="Arial"/>
          <w:b/>
          <w:sz w:val="24"/>
          <w:szCs w:val="24"/>
        </w:rPr>
      </w:pPr>
      <w:r w:rsidRPr="00D17737">
        <w:rPr>
          <w:rFonts w:ascii="Arial" w:hAnsi="Arial" w:cs="Arial"/>
          <w:b/>
          <w:sz w:val="24"/>
          <w:szCs w:val="24"/>
        </w:rPr>
        <w:t>Educación moderna y vocación.</w:t>
      </w:r>
    </w:p>
    <w:p w:rsidR="00D17737" w:rsidRPr="00885CC1" w:rsidRDefault="00D17737" w:rsidP="00057CB5">
      <w:pPr>
        <w:spacing w:after="0" w:line="276" w:lineRule="auto"/>
        <w:ind w:firstLine="567"/>
        <w:jc w:val="both"/>
        <w:rPr>
          <w:rFonts w:ascii="Arial" w:hAnsi="Arial" w:cs="Arial"/>
          <w:sz w:val="24"/>
          <w:szCs w:val="24"/>
        </w:rPr>
      </w:pPr>
      <w:r w:rsidRPr="00885CC1">
        <w:rPr>
          <w:rFonts w:ascii="Arial" w:hAnsi="Arial" w:cs="Arial"/>
          <w:sz w:val="24"/>
          <w:szCs w:val="24"/>
        </w:rPr>
        <w:t>• Educación atípica, aprendizaje permanente</w:t>
      </w:r>
    </w:p>
    <w:p w:rsidR="00D17737" w:rsidRPr="00885CC1" w:rsidRDefault="00D17737" w:rsidP="00057CB5">
      <w:pPr>
        <w:spacing w:after="0" w:line="276" w:lineRule="auto"/>
        <w:ind w:firstLine="567"/>
        <w:jc w:val="both"/>
        <w:rPr>
          <w:rFonts w:ascii="Arial" w:hAnsi="Arial" w:cs="Arial"/>
          <w:sz w:val="24"/>
          <w:szCs w:val="24"/>
        </w:rPr>
      </w:pPr>
      <w:r w:rsidRPr="00885CC1">
        <w:rPr>
          <w:rFonts w:ascii="Arial" w:hAnsi="Arial" w:cs="Arial"/>
          <w:sz w:val="24"/>
          <w:szCs w:val="24"/>
        </w:rPr>
        <w:t>• Educación especial e inclusiva</w:t>
      </w:r>
    </w:p>
    <w:p w:rsidR="00D17737" w:rsidRPr="00885CC1" w:rsidRDefault="00D17737" w:rsidP="00057CB5">
      <w:pPr>
        <w:spacing w:after="0" w:line="276" w:lineRule="auto"/>
        <w:ind w:firstLine="567"/>
        <w:jc w:val="both"/>
        <w:rPr>
          <w:rFonts w:ascii="Arial" w:hAnsi="Arial" w:cs="Arial"/>
          <w:sz w:val="24"/>
          <w:szCs w:val="24"/>
        </w:rPr>
      </w:pPr>
      <w:r w:rsidRPr="00885CC1">
        <w:rPr>
          <w:rFonts w:ascii="Arial" w:hAnsi="Arial" w:cs="Arial"/>
          <w:sz w:val="24"/>
          <w:szCs w:val="24"/>
        </w:rPr>
        <w:t>• Educación general, especialización científica y formación profesional</w:t>
      </w:r>
    </w:p>
    <w:p w:rsidR="00D17737" w:rsidRPr="00885CC1" w:rsidRDefault="00D17737" w:rsidP="00057CB5">
      <w:pPr>
        <w:spacing w:after="0" w:line="276" w:lineRule="auto"/>
        <w:ind w:firstLine="567"/>
        <w:jc w:val="both"/>
        <w:rPr>
          <w:rFonts w:ascii="Arial" w:hAnsi="Arial" w:cs="Arial"/>
          <w:sz w:val="24"/>
          <w:szCs w:val="24"/>
        </w:rPr>
      </w:pPr>
      <w:r w:rsidRPr="00885CC1">
        <w:rPr>
          <w:rFonts w:ascii="Arial" w:hAnsi="Arial" w:cs="Arial"/>
          <w:sz w:val="24"/>
          <w:szCs w:val="24"/>
        </w:rPr>
        <w:t>• Educación para la sostenibilidad</w:t>
      </w:r>
    </w:p>
    <w:p w:rsidR="00D17737" w:rsidRPr="00885CC1" w:rsidRDefault="00D17737" w:rsidP="00057CB5">
      <w:pPr>
        <w:spacing w:after="0" w:line="276" w:lineRule="auto"/>
        <w:ind w:firstLine="567"/>
        <w:jc w:val="both"/>
        <w:rPr>
          <w:rFonts w:ascii="Arial" w:hAnsi="Arial" w:cs="Arial"/>
          <w:sz w:val="24"/>
          <w:szCs w:val="24"/>
        </w:rPr>
      </w:pPr>
      <w:r w:rsidRPr="00885CC1">
        <w:rPr>
          <w:rFonts w:ascii="Arial" w:hAnsi="Arial" w:cs="Arial"/>
          <w:sz w:val="24"/>
          <w:szCs w:val="24"/>
        </w:rPr>
        <w:t>• Educación y ciudadanía</w:t>
      </w:r>
    </w:p>
    <w:p w:rsidR="00D17737" w:rsidRPr="00885CC1" w:rsidRDefault="00D17737" w:rsidP="00057CB5">
      <w:pPr>
        <w:spacing w:after="0" w:line="276" w:lineRule="auto"/>
        <w:ind w:firstLine="567"/>
        <w:jc w:val="both"/>
        <w:rPr>
          <w:rFonts w:ascii="Arial" w:hAnsi="Arial" w:cs="Arial"/>
          <w:sz w:val="24"/>
          <w:szCs w:val="24"/>
        </w:rPr>
      </w:pPr>
      <w:r w:rsidRPr="00885CC1">
        <w:rPr>
          <w:rFonts w:ascii="Arial" w:hAnsi="Arial" w:cs="Arial"/>
          <w:sz w:val="24"/>
          <w:szCs w:val="24"/>
        </w:rPr>
        <w:t>• El papel de la educación</w:t>
      </w:r>
    </w:p>
    <w:p w:rsidR="00D17737" w:rsidRPr="00885CC1" w:rsidRDefault="00D17737" w:rsidP="00057CB5">
      <w:pPr>
        <w:spacing w:after="0" w:line="276" w:lineRule="auto"/>
        <w:ind w:firstLine="567"/>
        <w:jc w:val="both"/>
        <w:rPr>
          <w:rFonts w:ascii="Arial" w:hAnsi="Arial" w:cs="Arial"/>
          <w:sz w:val="24"/>
          <w:szCs w:val="24"/>
        </w:rPr>
      </w:pPr>
      <w:r w:rsidRPr="00885CC1">
        <w:rPr>
          <w:rFonts w:ascii="Arial" w:hAnsi="Arial" w:cs="Arial"/>
          <w:sz w:val="24"/>
          <w:szCs w:val="24"/>
        </w:rPr>
        <w:t>• El papel de la educación estatal</w:t>
      </w:r>
    </w:p>
    <w:p w:rsidR="00D17737" w:rsidRPr="00885CC1" w:rsidRDefault="00D17737" w:rsidP="00057CB5">
      <w:pPr>
        <w:spacing w:after="0" w:line="276" w:lineRule="auto"/>
        <w:ind w:firstLine="567"/>
        <w:jc w:val="both"/>
        <w:rPr>
          <w:rFonts w:ascii="Arial" w:hAnsi="Arial" w:cs="Arial"/>
          <w:sz w:val="24"/>
          <w:szCs w:val="24"/>
        </w:rPr>
      </w:pPr>
      <w:r w:rsidRPr="00885CC1">
        <w:rPr>
          <w:rFonts w:ascii="Arial" w:hAnsi="Arial" w:cs="Arial"/>
          <w:sz w:val="24"/>
          <w:szCs w:val="24"/>
        </w:rPr>
        <w:t>• Información y comunicación en la educación</w:t>
      </w:r>
    </w:p>
    <w:p w:rsidR="00D17737" w:rsidRDefault="00D17737" w:rsidP="00057CB5">
      <w:pPr>
        <w:spacing w:after="0" w:line="276" w:lineRule="auto"/>
        <w:ind w:firstLine="567"/>
        <w:jc w:val="both"/>
        <w:rPr>
          <w:rFonts w:ascii="Arial" w:hAnsi="Arial" w:cs="Arial"/>
          <w:sz w:val="24"/>
          <w:szCs w:val="24"/>
        </w:rPr>
      </w:pPr>
      <w:r w:rsidRPr="00885CC1">
        <w:rPr>
          <w:rFonts w:ascii="Arial" w:hAnsi="Arial" w:cs="Arial"/>
          <w:sz w:val="24"/>
          <w:szCs w:val="24"/>
        </w:rPr>
        <w:t>• Investigaciones educativas.</w:t>
      </w:r>
    </w:p>
    <w:p w:rsidR="00D17737" w:rsidRPr="00885CC1" w:rsidRDefault="00D17737" w:rsidP="00057CB5">
      <w:pPr>
        <w:spacing w:after="0" w:line="276" w:lineRule="auto"/>
        <w:ind w:firstLine="567"/>
        <w:jc w:val="both"/>
        <w:rPr>
          <w:rFonts w:ascii="Arial" w:hAnsi="Arial" w:cs="Arial"/>
          <w:sz w:val="24"/>
          <w:szCs w:val="24"/>
        </w:rPr>
      </w:pPr>
      <w:r w:rsidRPr="00885CC1">
        <w:rPr>
          <w:rFonts w:ascii="Arial" w:hAnsi="Arial" w:cs="Arial"/>
          <w:sz w:val="24"/>
          <w:szCs w:val="24"/>
        </w:rPr>
        <w:t>• Metodología y estrategias de enseñanza</w:t>
      </w:r>
    </w:p>
    <w:p w:rsidR="00D17737" w:rsidRPr="00885CC1" w:rsidRDefault="00D17737" w:rsidP="00057CB5">
      <w:pPr>
        <w:spacing w:after="0" w:line="276" w:lineRule="auto"/>
        <w:ind w:firstLine="567"/>
        <w:jc w:val="both"/>
        <w:rPr>
          <w:rFonts w:ascii="Arial" w:hAnsi="Arial" w:cs="Arial"/>
          <w:sz w:val="24"/>
          <w:szCs w:val="24"/>
        </w:rPr>
      </w:pPr>
      <w:r w:rsidRPr="00885CC1">
        <w:rPr>
          <w:rFonts w:ascii="Arial" w:hAnsi="Arial" w:cs="Arial"/>
          <w:sz w:val="24"/>
          <w:szCs w:val="24"/>
        </w:rPr>
        <w:t>• Nuevas tecnologías y educación</w:t>
      </w:r>
    </w:p>
    <w:p w:rsidR="00D17737" w:rsidRPr="00885CC1" w:rsidRDefault="00D17737" w:rsidP="00057CB5">
      <w:pPr>
        <w:spacing w:after="0" w:line="276" w:lineRule="auto"/>
        <w:ind w:firstLine="567"/>
        <w:jc w:val="both"/>
        <w:rPr>
          <w:rFonts w:ascii="Arial" w:hAnsi="Arial" w:cs="Arial"/>
          <w:sz w:val="24"/>
          <w:szCs w:val="24"/>
        </w:rPr>
      </w:pPr>
      <w:r w:rsidRPr="00885CC1">
        <w:rPr>
          <w:rFonts w:ascii="Arial" w:hAnsi="Arial" w:cs="Arial"/>
          <w:sz w:val="24"/>
          <w:szCs w:val="24"/>
        </w:rPr>
        <w:lastRenderedPageBreak/>
        <w:t>• Orientación profesional</w:t>
      </w:r>
    </w:p>
    <w:p w:rsidR="00D17737" w:rsidRPr="00885CC1" w:rsidRDefault="00D17737" w:rsidP="00057CB5">
      <w:pPr>
        <w:spacing w:after="0" w:line="276" w:lineRule="auto"/>
        <w:ind w:firstLine="567"/>
        <w:jc w:val="both"/>
        <w:rPr>
          <w:rFonts w:ascii="Arial" w:hAnsi="Arial" w:cs="Arial"/>
          <w:sz w:val="24"/>
          <w:szCs w:val="24"/>
        </w:rPr>
      </w:pPr>
      <w:r w:rsidRPr="00885CC1">
        <w:rPr>
          <w:rFonts w:ascii="Arial" w:hAnsi="Arial" w:cs="Arial"/>
          <w:sz w:val="24"/>
          <w:szCs w:val="24"/>
        </w:rPr>
        <w:t>• Planes de estudio, materiales didácticos y de apoyo</w:t>
      </w:r>
    </w:p>
    <w:p w:rsidR="00D17737" w:rsidRPr="00885CC1" w:rsidRDefault="00D17737" w:rsidP="00057CB5">
      <w:pPr>
        <w:spacing w:after="0" w:line="276" w:lineRule="auto"/>
        <w:ind w:firstLine="567"/>
        <w:jc w:val="both"/>
        <w:rPr>
          <w:rFonts w:ascii="Arial" w:hAnsi="Arial" w:cs="Arial"/>
          <w:sz w:val="24"/>
          <w:szCs w:val="24"/>
        </w:rPr>
      </w:pPr>
      <w:r w:rsidRPr="00885CC1">
        <w:rPr>
          <w:rFonts w:ascii="Arial" w:hAnsi="Arial" w:cs="Arial"/>
          <w:sz w:val="24"/>
          <w:szCs w:val="24"/>
        </w:rPr>
        <w:t>• Política de educación, orientaciones y estructuras de la educación</w:t>
      </w:r>
    </w:p>
    <w:p w:rsidR="00D17737" w:rsidRPr="00885CC1" w:rsidRDefault="00D17737" w:rsidP="00057CB5">
      <w:pPr>
        <w:spacing w:after="0" w:line="276" w:lineRule="auto"/>
        <w:ind w:firstLine="567"/>
        <w:jc w:val="both"/>
        <w:rPr>
          <w:rFonts w:ascii="Arial" w:hAnsi="Arial" w:cs="Arial"/>
          <w:sz w:val="24"/>
          <w:szCs w:val="24"/>
        </w:rPr>
      </w:pPr>
      <w:r w:rsidRPr="00885CC1">
        <w:rPr>
          <w:rFonts w:ascii="Arial" w:hAnsi="Arial" w:cs="Arial"/>
          <w:sz w:val="24"/>
          <w:szCs w:val="24"/>
        </w:rPr>
        <w:t>• Programas innovadores europeos</w:t>
      </w:r>
    </w:p>
    <w:p w:rsidR="00D17737" w:rsidRPr="00885CC1" w:rsidRDefault="00D17737" w:rsidP="00057CB5">
      <w:pPr>
        <w:spacing w:after="0" w:line="276" w:lineRule="auto"/>
        <w:ind w:firstLine="567"/>
        <w:jc w:val="both"/>
        <w:rPr>
          <w:rFonts w:ascii="Arial" w:hAnsi="Arial" w:cs="Arial"/>
          <w:sz w:val="24"/>
          <w:szCs w:val="24"/>
        </w:rPr>
      </w:pPr>
      <w:r w:rsidRPr="00885CC1">
        <w:rPr>
          <w:rFonts w:ascii="Arial" w:hAnsi="Arial" w:cs="Arial"/>
          <w:sz w:val="24"/>
          <w:szCs w:val="24"/>
        </w:rPr>
        <w:t>• Sugerencias didácticas, escenarios didácticos</w:t>
      </w:r>
    </w:p>
    <w:p w:rsidR="00D17737" w:rsidRDefault="00D17737" w:rsidP="00057CB5">
      <w:pPr>
        <w:spacing w:after="0" w:line="276" w:lineRule="auto"/>
        <w:ind w:firstLine="567"/>
        <w:jc w:val="both"/>
        <w:rPr>
          <w:rFonts w:ascii="Arial" w:hAnsi="Arial" w:cs="Arial"/>
          <w:sz w:val="24"/>
          <w:szCs w:val="24"/>
          <w:lang w:val="el-GR"/>
        </w:rPr>
      </w:pPr>
      <w:r w:rsidRPr="00885CC1">
        <w:rPr>
          <w:rFonts w:ascii="Arial" w:hAnsi="Arial" w:cs="Arial"/>
          <w:sz w:val="24"/>
          <w:szCs w:val="24"/>
        </w:rPr>
        <w:t>• Teoría pedagógica, educativa y didáctica</w:t>
      </w:r>
    </w:p>
    <w:p w:rsidR="00057CB5" w:rsidRPr="00057CB5" w:rsidRDefault="00057CB5" w:rsidP="00057CB5">
      <w:pPr>
        <w:spacing w:after="0" w:line="276" w:lineRule="auto"/>
        <w:ind w:firstLine="567"/>
        <w:jc w:val="both"/>
        <w:rPr>
          <w:rFonts w:ascii="Arial" w:hAnsi="Arial" w:cs="Arial"/>
          <w:sz w:val="24"/>
          <w:szCs w:val="24"/>
          <w:lang w:val="el-GR"/>
        </w:rPr>
      </w:pPr>
    </w:p>
    <w:p w:rsidR="00885CC1" w:rsidRPr="00D17737" w:rsidRDefault="00885CC1" w:rsidP="00D17737">
      <w:pPr>
        <w:spacing w:line="240" w:lineRule="auto"/>
        <w:jc w:val="both"/>
        <w:rPr>
          <w:rFonts w:ascii="Arial" w:hAnsi="Arial" w:cs="Arial"/>
          <w:b/>
          <w:sz w:val="24"/>
          <w:szCs w:val="24"/>
        </w:rPr>
      </w:pPr>
      <w:r w:rsidRPr="00D17737">
        <w:rPr>
          <w:rFonts w:ascii="Arial" w:hAnsi="Arial" w:cs="Arial"/>
          <w:b/>
          <w:sz w:val="24"/>
          <w:szCs w:val="24"/>
        </w:rPr>
        <w:t>LA CONFERENCIA PUEDE SER ASISTIDA POR</w:t>
      </w:r>
    </w:p>
    <w:p w:rsidR="00885CC1" w:rsidRPr="00057CB5" w:rsidRDefault="00885CC1" w:rsidP="00057CB5">
      <w:pPr>
        <w:pStyle w:val="a3"/>
        <w:numPr>
          <w:ilvl w:val="0"/>
          <w:numId w:val="4"/>
        </w:numPr>
        <w:spacing w:line="240" w:lineRule="auto"/>
        <w:jc w:val="both"/>
        <w:rPr>
          <w:rFonts w:ascii="Arial" w:hAnsi="Arial" w:cs="Arial"/>
          <w:sz w:val="24"/>
          <w:szCs w:val="24"/>
        </w:rPr>
      </w:pPr>
      <w:r w:rsidRPr="00057CB5">
        <w:rPr>
          <w:rFonts w:ascii="Arial" w:hAnsi="Arial" w:cs="Arial"/>
          <w:sz w:val="24"/>
          <w:szCs w:val="24"/>
        </w:rPr>
        <w:t>Investigadores, científicos, académicos</w:t>
      </w:r>
    </w:p>
    <w:p w:rsidR="00885CC1" w:rsidRPr="00057CB5" w:rsidRDefault="00885CC1" w:rsidP="00057CB5">
      <w:pPr>
        <w:pStyle w:val="a3"/>
        <w:numPr>
          <w:ilvl w:val="0"/>
          <w:numId w:val="4"/>
        </w:numPr>
        <w:spacing w:line="240" w:lineRule="auto"/>
        <w:jc w:val="both"/>
        <w:rPr>
          <w:rFonts w:ascii="Arial" w:hAnsi="Arial" w:cs="Arial"/>
          <w:sz w:val="24"/>
          <w:szCs w:val="24"/>
        </w:rPr>
      </w:pPr>
      <w:r w:rsidRPr="00057CB5">
        <w:rPr>
          <w:rFonts w:ascii="Arial" w:hAnsi="Arial" w:cs="Arial"/>
          <w:sz w:val="24"/>
          <w:szCs w:val="24"/>
        </w:rPr>
        <w:t>Ejecutivos de educación y docentes de todos los niveles que prestan servicios en la educación pública o privada, activos o jubilados</w:t>
      </w:r>
    </w:p>
    <w:p w:rsidR="00885CC1" w:rsidRPr="00057CB5" w:rsidRDefault="00885CC1" w:rsidP="00057CB5">
      <w:pPr>
        <w:pStyle w:val="a3"/>
        <w:numPr>
          <w:ilvl w:val="0"/>
          <w:numId w:val="4"/>
        </w:numPr>
        <w:spacing w:line="240" w:lineRule="auto"/>
        <w:jc w:val="both"/>
        <w:rPr>
          <w:rFonts w:ascii="Arial" w:hAnsi="Arial" w:cs="Arial"/>
          <w:sz w:val="24"/>
          <w:szCs w:val="24"/>
        </w:rPr>
      </w:pPr>
      <w:r w:rsidRPr="00057CB5">
        <w:rPr>
          <w:rFonts w:ascii="Arial" w:hAnsi="Arial" w:cs="Arial"/>
          <w:sz w:val="24"/>
          <w:szCs w:val="24"/>
        </w:rPr>
        <w:t>Docentes y personal científico de Instituciones de Educación Superior</w:t>
      </w:r>
    </w:p>
    <w:p w:rsidR="00885CC1" w:rsidRPr="00057CB5" w:rsidRDefault="00885CC1" w:rsidP="00057CB5">
      <w:pPr>
        <w:pStyle w:val="a3"/>
        <w:numPr>
          <w:ilvl w:val="0"/>
          <w:numId w:val="4"/>
        </w:numPr>
        <w:spacing w:line="240" w:lineRule="auto"/>
        <w:jc w:val="both"/>
        <w:rPr>
          <w:rFonts w:ascii="Arial" w:hAnsi="Arial" w:cs="Arial"/>
          <w:sz w:val="24"/>
          <w:szCs w:val="24"/>
        </w:rPr>
      </w:pPr>
      <w:r w:rsidRPr="00057CB5">
        <w:rPr>
          <w:rFonts w:ascii="Arial" w:hAnsi="Arial" w:cs="Arial"/>
          <w:sz w:val="24"/>
          <w:szCs w:val="24"/>
        </w:rPr>
        <w:t xml:space="preserve">Doctorandos, </w:t>
      </w:r>
      <w:r w:rsidR="000061C5" w:rsidRPr="00057CB5">
        <w:rPr>
          <w:rFonts w:ascii="Arial" w:hAnsi="Arial" w:cs="Arial"/>
          <w:i/>
          <w:sz w:val="24"/>
          <w:szCs w:val="24"/>
        </w:rPr>
        <w:t>Doctores</w:t>
      </w:r>
      <w:r w:rsidRPr="00057CB5">
        <w:rPr>
          <w:rFonts w:ascii="Arial" w:hAnsi="Arial" w:cs="Arial"/>
          <w:sz w:val="24"/>
          <w:szCs w:val="24"/>
        </w:rPr>
        <w:t>, investigadores postdoctorales</w:t>
      </w:r>
    </w:p>
    <w:p w:rsidR="00885CC1" w:rsidRPr="00057CB5" w:rsidRDefault="00885CC1" w:rsidP="00057CB5">
      <w:pPr>
        <w:pStyle w:val="a3"/>
        <w:numPr>
          <w:ilvl w:val="0"/>
          <w:numId w:val="4"/>
        </w:numPr>
        <w:spacing w:line="240" w:lineRule="auto"/>
        <w:jc w:val="both"/>
        <w:rPr>
          <w:rFonts w:ascii="Arial" w:hAnsi="Arial" w:cs="Arial"/>
          <w:sz w:val="24"/>
          <w:szCs w:val="24"/>
        </w:rPr>
      </w:pPr>
      <w:r w:rsidRPr="00057CB5">
        <w:rPr>
          <w:rFonts w:ascii="Arial" w:hAnsi="Arial" w:cs="Arial"/>
          <w:sz w:val="24"/>
          <w:szCs w:val="24"/>
        </w:rPr>
        <w:t>Directivos y empleados en los campos de la cultura, la economía, la política y el autogobierno</w:t>
      </w:r>
    </w:p>
    <w:p w:rsidR="00885CC1" w:rsidRPr="00057CB5" w:rsidRDefault="00885CC1" w:rsidP="00057CB5">
      <w:pPr>
        <w:pStyle w:val="a3"/>
        <w:numPr>
          <w:ilvl w:val="0"/>
          <w:numId w:val="4"/>
        </w:numPr>
        <w:spacing w:line="240" w:lineRule="auto"/>
        <w:jc w:val="both"/>
        <w:rPr>
          <w:rFonts w:ascii="Arial" w:hAnsi="Arial" w:cs="Arial"/>
          <w:sz w:val="24"/>
          <w:szCs w:val="24"/>
        </w:rPr>
      </w:pPr>
      <w:r w:rsidRPr="00057CB5">
        <w:rPr>
          <w:rFonts w:ascii="Arial" w:hAnsi="Arial" w:cs="Arial"/>
          <w:sz w:val="24"/>
          <w:szCs w:val="24"/>
        </w:rPr>
        <w:t>Educadores de adultos</w:t>
      </w:r>
    </w:p>
    <w:p w:rsidR="00885CC1" w:rsidRPr="00057CB5" w:rsidRDefault="00885CC1" w:rsidP="00057CB5">
      <w:pPr>
        <w:pStyle w:val="a3"/>
        <w:numPr>
          <w:ilvl w:val="0"/>
          <w:numId w:val="4"/>
        </w:numPr>
        <w:spacing w:line="240" w:lineRule="auto"/>
        <w:jc w:val="both"/>
        <w:rPr>
          <w:rFonts w:ascii="Arial" w:hAnsi="Arial" w:cs="Arial"/>
          <w:sz w:val="24"/>
          <w:szCs w:val="24"/>
        </w:rPr>
      </w:pPr>
      <w:r w:rsidRPr="00057CB5">
        <w:rPr>
          <w:rFonts w:ascii="Arial" w:hAnsi="Arial" w:cs="Arial"/>
          <w:sz w:val="24"/>
          <w:szCs w:val="24"/>
        </w:rPr>
        <w:t>Estudiantes de pregrado y posgrado</w:t>
      </w:r>
    </w:p>
    <w:p w:rsidR="00885CC1" w:rsidRPr="00057CB5" w:rsidRDefault="00885CC1" w:rsidP="00057CB5">
      <w:pPr>
        <w:pStyle w:val="a3"/>
        <w:numPr>
          <w:ilvl w:val="0"/>
          <w:numId w:val="4"/>
        </w:numPr>
        <w:spacing w:line="240" w:lineRule="auto"/>
        <w:jc w:val="both"/>
        <w:rPr>
          <w:rFonts w:ascii="Arial" w:hAnsi="Arial" w:cs="Arial"/>
          <w:sz w:val="24"/>
          <w:szCs w:val="24"/>
        </w:rPr>
      </w:pPr>
      <w:r w:rsidRPr="00057CB5">
        <w:rPr>
          <w:rFonts w:ascii="Arial" w:hAnsi="Arial" w:cs="Arial"/>
          <w:sz w:val="24"/>
          <w:szCs w:val="24"/>
        </w:rPr>
        <w:t>Cualquier interesado que desee contribuir con una reflexión fructífera en relación con el tema central y las áreas temáticas de la Conferencia.</w:t>
      </w:r>
    </w:p>
    <w:p w:rsidR="00885CC1" w:rsidRPr="00885CC1" w:rsidRDefault="00885CC1" w:rsidP="00D17737">
      <w:pPr>
        <w:spacing w:line="240" w:lineRule="auto"/>
        <w:jc w:val="both"/>
        <w:rPr>
          <w:rFonts w:ascii="Arial" w:hAnsi="Arial" w:cs="Arial"/>
          <w:sz w:val="24"/>
          <w:szCs w:val="24"/>
        </w:rPr>
      </w:pPr>
    </w:p>
    <w:p w:rsidR="00885CC1" w:rsidRPr="000061C5" w:rsidRDefault="00885CC1" w:rsidP="00D17737">
      <w:pPr>
        <w:spacing w:line="240" w:lineRule="auto"/>
        <w:jc w:val="both"/>
        <w:rPr>
          <w:rFonts w:ascii="Arial" w:hAnsi="Arial" w:cs="Arial"/>
          <w:b/>
          <w:sz w:val="24"/>
          <w:szCs w:val="24"/>
        </w:rPr>
      </w:pPr>
      <w:r w:rsidRPr="000061C5">
        <w:rPr>
          <w:rFonts w:ascii="Arial" w:hAnsi="Arial" w:cs="Arial"/>
          <w:b/>
          <w:sz w:val="24"/>
          <w:szCs w:val="24"/>
        </w:rPr>
        <w:t>ESTRUCTURA DE OBRAS - ACTIVIDADES</w:t>
      </w:r>
    </w:p>
    <w:p w:rsidR="00885CC1" w:rsidRPr="00885CC1" w:rsidRDefault="00885CC1" w:rsidP="00885CC1">
      <w:pPr>
        <w:spacing w:line="360" w:lineRule="auto"/>
        <w:jc w:val="both"/>
        <w:rPr>
          <w:rFonts w:ascii="Arial" w:hAnsi="Arial" w:cs="Arial"/>
          <w:sz w:val="24"/>
          <w:szCs w:val="24"/>
        </w:rPr>
      </w:pPr>
      <w:r w:rsidRPr="00885CC1">
        <w:rPr>
          <w:rFonts w:ascii="Arial" w:hAnsi="Arial" w:cs="Arial"/>
          <w:sz w:val="24"/>
          <w:szCs w:val="24"/>
        </w:rPr>
        <w:t>En la Conferencia se pueden presentar las siguientes estructuras de trabajo:</w:t>
      </w:r>
    </w:p>
    <w:p w:rsidR="00885CC1" w:rsidRPr="00057CB5" w:rsidRDefault="00885CC1" w:rsidP="00057CB5">
      <w:pPr>
        <w:pStyle w:val="a3"/>
        <w:numPr>
          <w:ilvl w:val="0"/>
          <w:numId w:val="5"/>
        </w:numPr>
        <w:spacing w:after="0" w:line="276" w:lineRule="auto"/>
        <w:jc w:val="both"/>
        <w:rPr>
          <w:rFonts w:ascii="Arial" w:hAnsi="Arial" w:cs="Arial"/>
          <w:sz w:val="24"/>
          <w:szCs w:val="24"/>
        </w:rPr>
      </w:pPr>
      <w:r w:rsidRPr="00057CB5">
        <w:rPr>
          <w:rFonts w:ascii="Arial" w:hAnsi="Arial" w:cs="Arial"/>
          <w:b/>
          <w:sz w:val="24"/>
          <w:szCs w:val="24"/>
        </w:rPr>
        <w:t>Presentaciones</w:t>
      </w:r>
      <w:r w:rsidRPr="00057CB5">
        <w:rPr>
          <w:rFonts w:ascii="Arial" w:hAnsi="Arial" w:cs="Arial"/>
          <w:sz w:val="24"/>
          <w:szCs w:val="24"/>
        </w:rPr>
        <w:t>, con presencia física de los disertantes</w:t>
      </w:r>
    </w:p>
    <w:p w:rsidR="00885CC1" w:rsidRPr="00057CB5" w:rsidRDefault="00885CC1" w:rsidP="00057CB5">
      <w:pPr>
        <w:pStyle w:val="a3"/>
        <w:numPr>
          <w:ilvl w:val="0"/>
          <w:numId w:val="5"/>
        </w:numPr>
        <w:spacing w:after="0" w:line="276" w:lineRule="auto"/>
        <w:jc w:val="both"/>
        <w:rPr>
          <w:rFonts w:ascii="Arial" w:hAnsi="Arial" w:cs="Arial"/>
          <w:sz w:val="24"/>
          <w:szCs w:val="24"/>
        </w:rPr>
      </w:pPr>
      <w:r w:rsidRPr="00057CB5">
        <w:rPr>
          <w:rFonts w:ascii="Arial" w:hAnsi="Arial" w:cs="Arial"/>
          <w:b/>
          <w:sz w:val="24"/>
          <w:szCs w:val="24"/>
        </w:rPr>
        <w:t>Presentaciones en línea</w:t>
      </w:r>
      <w:r w:rsidRPr="00057CB5">
        <w:rPr>
          <w:rFonts w:ascii="Arial" w:hAnsi="Arial" w:cs="Arial"/>
          <w:sz w:val="24"/>
          <w:szCs w:val="24"/>
        </w:rPr>
        <w:t>, a través de una aplicación de conferencias web</w:t>
      </w:r>
    </w:p>
    <w:p w:rsidR="00885CC1" w:rsidRPr="00057CB5" w:rsidRDefault="00885CC1" w:rsidP="00057CB5">
      <w:pPr>
        <w:pStyle w:val="a3"/>
        <w:numPr>
          <w:ilvl w:val="0"/>
          <w:numId w:val="5"/>
        </w:numPr>
        <w:spacing w:after="0" w:line="276" w:lineRule="auto"/>
        <w:jc w:val="both"/>
        <w:rPr>
          <w:rFonts w:ascii="Arial" w:hAnsi="Arial" w:cs="Arial"/>
          <w:sz w:val="24"/>
          <w:szCs w:val="24"/>
        </w:rPr>
      </w:pPr>
      <w:r w:rsidRPr="00057CB5">
        <w:rPr>
          <w:rFonts w:ascii="Arial" w:hAnsi="Arial" w:cs="Arial"/>
          <w:b/>
          <w:sz w:val="24"/>
          <w:szCs w:val="24"/>
        </w:rPr>
        <w:t>Anuncios</w:t>
      </w:r>
      <w:r w:rsidRPr="00057CB5">
        <w:rPr>
          <w:rFonts w:ascii="Arial" w:hAnsi="Arial" w:cs="Arial"/>
          <w:sz w:val="24"/>
          <w:szCs w:val="24"/>
        </w:rPr>
        <w:t xml:space="preserve"> </w:t>
      </w:r>
      <w:r w:rsidRPr="00057CB5">
        <w:rPr>
          <w:rFonts w:ascii="Arial" w:hAnsi="Arial" w:cs="Arial"/>
          <w:b/>
          <w:sz w:val="24"/>
          <w:szCs w:val="24"/>
        </w:rPr>
        <w:t>digitales publicados</w:t>
      </w:r>
      <w:r w:rsidRPr="00057CB5">
        <w:rPr>
          <w:rFonts w:ascii="Arial" w:hAnsi="Arial" w:cs="Arial"/>
          <w:sz w:val="24"/>
          <w:szCs w:val="24"/>
        </w:rPr>
        <w:t xml:space="preserve"> (presentaciones digitales o presentaciones en video)</w:t>
      </w:r>
    </w:p>
    <w:p w:rsidR="00885CC1" w:rsidRDefault="00885CC1" w:rsidP="00057CB5">
      <w:pPr>
        <w:pStyle w:val="a3"/>
        <w:numPr>
          <w:ilvl w:val="0"/>
          <w:numId w:val="5"/>
        </w:numPr>
        <w:spacing w:after="0" w:line="276" w:lineRule="auto"/>
        <w:jc w:val="both"/>
        <w:rPr>
          <w:rFonts w:ascii="Arial" w:hAnsi="Arial" w:cs="Arial"/>
          <w:b/>
          <w:sz w:val="24"/>
          <w:szCs w:val="24"/>
        </w:rPr>
      </w:pPr>
      <w:r w:rsidRPr="00057CB5">
        <w:rPr>
          <w:rFonts w:ascii="Arial" w:hAnsi="Arial" w:cs="Arial"/>
          <w:b/>
          <w:sz w:val="24"/>
          <w:szCs w:val="24"/>
        </w:rPr>
        <w:t xml:space="preserve">Talleres, </w:t>
      </w:r>
      <w:r w:rsidRPr="00057CB5">
        <w:rPr>
          <w:rFonts w:ascii="Arial" w:hAnsi="Arial" w:cs="Arial"/>
          <w:sz w:val="24"/>
          <w:szCs w:val="24"/>
        </w:rPr>
        <w:t>presenciales u online.</w:t>
      </w:r>
    </w:p>
    <w:p w:rsidR="00057CB5" w:rsidRPr="00057CB5" w:rsidRDefault="00057CB5" w:rsidP="00057CB5">
      <w:pPr>
        <w:pStyle w:val="a3"/>
        <w:spacing w:after="0" w:line="276" w:lineRule="auto"/>
        <w:jc w:val="both"/>
        <w:rPr>
          <w:rFonts w:ascii="Arial" w:hAnsi="Arial" w:cs="Arial"/>
          <w:b/>
          <w:sz w:val="24"/>
          <w:szCs w:val="24"/>
        </w:rPr>
      </w:pPr>
    </w:p>
    <w:p w:rsidR="00885CC1" w:rsidRPr="00885CC1" w:rsidRDefault="00885CC1" w:rsidP="00885CC1">
      <w:pPr>
        <w:spacing w:line="360" w:lineRule="auto"/>
        <w:jc w:val="both"/>
        <w:rPr>
          <w:rFonts w:ascii="Arial" w:hAnsi="Arial" w:cs="Arial"/>
          <w:sz w:val="24"/>
          <w:szCs w:val="24"/>
        </w:rPr>
      </w:pPr>
      <w:r w:rsidRPr="00885CC1">
        <w:rPr>
          <w:rFonts w:ascii="Arial" w:hAnsi="Arial" w:cs="Arial"/>
          <w:sz w:val="24"/>
          <w:szCs w:val="24"/>
        </w:rPr>
        <w:t>Lo anterior incluye comunicados científicos, investigaciones, estudios, buenas prácticas, escenarios de enseñanza, presentaciones de software y materiales educativos, etc., relacionados con el tema central y las áreas temáticas del Congreso. Los textos completos de todos los trabajos aprobados por los jueces se publican en las actas de la Conferencia, independientemente de la forma de su presentación. Las instrucciones detalladas para la estructura y el formato de las presentaciones y anuncios se publicarán en los sitios web del Instituto de Humanidades y Estudios Sociales (Ι.Α.Κ.Ε.).</w:t>
      </w:r>
    </w:p>
    <w:p w:rsidR="00885CC1" w:rsidRPr="00885CC1" w:rsidRDefault="00885CC1" w:rsidP="00885CC1">
      <w:pPr>
        <w:spacing w:line="360" w:lineRule="auto"/>
        <w:jc w:val="both"/>
        <w:rPr>
          <w:rFonts w:ascii="Arial" w:hAnsi="Arial" w:cs="Arial"/>
          <w:sz w:val="24"/>
          <w:szCs w:val="24"/>
        </w:rPr>
      </w:pPr>
      <w:r w:rsidRPr="00885CC1">
        <w:rPr>
          <w:rFonts w:ascii="Arial" w:hAnsi="Arial" w:cs="Arial"/>
          <w:sz w:val="24"/>
          <w:szCs w:val="24"/>
        </w:rPr>
        <w:t xml:space="preserve">        Además, los trabajos de la Conferencia incluyen:</w:t>
      </w:r>
    </w:p>
    <w:p w:rsidR="00885CC1" w:rsidRPr="00885CC1" w:rsidRDefault="00885CC1" w:rsidP="00885CC1">
      <w:pPr>
        <w:spacing w:line="360" w:lineRule="auto"/>
        <w:jc w:val="both"/>
        <w:rPr>
          <w:rFonts w:ascii="Arial" w:hAnsi="Arial" w:cs="Arial"/>
          <w:sz w:val="24"/>
          <w:szCs w:val="24"/>
        </w:rPr>
      </w:pPr>
    </w:p>
    <w:p w:rsidR="00885CC1" w:rsidRPr="00057CB5" w:rsidRDefault="00885CC1" w:rsidP="00057CB5">
      <w:pPr>
        <w:pStyle w:val="a3"/>
        <w:numPr>
          <w:ilvl w:val="0"/>
          <w:numId w:val="6"/>
        </w:numPr>
        <w:spacing w:line="360" w:lineRule="auto"/>
        <w:jc w:val="both"/>
        <w:rPr>
          <w:rFonts w:ascii="Arial" w:hAnsi="Arial" w:cs="Arial"/>
          <w:sz w:val="24"/>
          <w:szCs w:val="24"/>
        </w:rPr>
      </w:pPr>
      <w:r w:rsidRPr="00057CB5">
        <w:rPr>
          <w:rFonts w:ascii="Arial" w:hAnsi="Arial" w:cs="Arial"/>
          <w:sz w:val="24"/>
          <w:szCs w:val="24"/>
        </w:rPr>
        <w:t>Presentaciones de oradores especiales invitados</w:t>
      </w:r>
    </w:p>
    <w:p w:rsidR="00885CC1" w:rsidRPr="00057CB5" w:rsidRDefault="00885CC1" w:rsidP="00057CB5">
      <w:pPr>
        <w:pStyle w:val="a3"/>
        <w:numPr>
          <w:ilvl w:val="0"/>
          <w:numId w:val="6"/>
        </w:numPr>
        <w:spacing w:line="360" w:lineRule="auto"/>
        <w:jc w:val="both"/>
        <w:rPr>
          <w:rFonts w:ascii="Arial" w:hAnsi="Arial" w:cs="Arial"/>
          <w:sz w:val="24"/>
          <w:szCs w:val="24"/>
        </w:rPr>
      </w:pPr>
      <w:r w:rsidRPr="00057CB5">
        <w:rPr>
          <w:rFonts w:ascii="Arial" w:hAnsi="Arial" w:cs="Arial"/>
          <w:sz w:val="24"/>
          <w:szCs w:val="24"/>
        </w:rPr>
        <w:t>Simposios temáticos</w:t>
      </w:r>
    </w:p>
    <w:p w:rsidR="00885CC1" w:rsidRPr="00057CB5" w:rsidRDefault="00885CC1" w:rsidP="00057CB5">
      <w:pPr>
        <w:pStyle w:val="a3"/>
        <w:numPr>
          <w:ilvl w:val="0"/>
          <w:numId w:val="6"/>
        </w:numPr>
        <w:spacing w:line="360" w:lineRule="auto"/>
        <w:jc w:val="both"/>
        <w:rPr>
          <w:rFonts w:ascii="Arial" w:hAnsi="Arial" w:cs="Arial"/>
          <w:sz w:val="24"/>
          <w:szCs w:val="24"/>
        </w:rPr>
      </w:pPr>
      <w:r w:rsidRPr="00057CB5">
        <w:rPr>
          <w:rFonts w:ascii="Arial" w:hAnsi="Arial" w:cs="Arial"/>
          <w:sz w:val="24"/>
          <w:szCs w:val="24"/>
        </w:rPr>
        <w:t>Concurso por el mejor trabajo científico y el mejor escenario didáctico</w:t>
      </w:r>
    </w:p>
    <w:p w:rsidR="00885CC1" w:rsidRPr="00057CB5" w:rsidRDefault="00885CC1" w:rsidP="00057CB5">
      <w:pPr>
        <w:pStyle w:val="a3"/>
        <w:numPr>
          <w:ilvl w:val="0"/>
          <w:numId w:val="6"/>
        </w:numPr>
        <w:spacing w:line="360" w:lineRule="auto"/>
        <w:jc w:val="both"/>
        <w:rPr>
          <w:rFonts w:ascii="Arial" w:hAnsi="Arial" w:cs="Arial"/>
          <w:sz w:val="24"/>
          <w:szCs w:val="24"/>
        </w:rPr>
      </w:pPr>
      <w:r w:rsidRPr="00057CB5">
        <w:rPr>
          <w:rFonts w:ascii="Arial" w:hAnsi="Arial" w:cs="Arial"/>
          <w:sz w:val="24"/>
          <w:szCs w:val="24"/>
        </w:rPr>
        <w:t>Eventos paralelos.</w:t>
      </w:r>
    </w:p>
    <w:p w:rsidR="00057CB5" w:rsidRPr="00057CB5" w:rsidRDefault="00885CC1" w:rsidP="00885CC1">
      <w:pPr>
        <w:spacing w:line="360" w:lineRule="auto"/>
        <w:jc w:val="both"/>
        <w:rPr>
          <w:rFonts w:ascii="Arial" w:hAnsi="Arial" w:cs="Arial"/>
          <w:b/>
          <w:sz w:val="24"/>
          <w:szCs w:val="24"/>
        </w:rPr>
      </w:pPr>
      <w:r w:rsidRPr="00057CB5">
        <w:rPr>
          <w:rFonts w:ascii="Arial" w:hAnsi="Arial" w:cs="Arial"/>
          <w:b/>
          <w:sz w:val="24"/>
          <w:szCs w:val="24"/>
        </w:rPr>
        <w:t>FECHAS E INFORMACIÓN IMPORTANTES</w:t>
      </w:r>
    </w:p>
    <w:tbl>
      <w:tblPr>
        <w:tblStyle w:val="a4"/>
        <w:tblW w:w="0" w:type="auto"/>
        <w:tblLook w:val="04A0" w:firstRow="1" w:lastRow="0" w:firstColumn="1" w:lastColumn="0" w:noHBand="0" w:noVBand="1"/>
      </w:tblPr>
      <w:tblGrid>
        <w:gridCol w:w="8828"/>
      </w:tblGrid>
      <w:tr w:rsidR="00057CB5" w:rsidTr="00057CB5">
        <w:tc>
          <w:tcPr>
            <w:tcW w:w="8828" w:type="dxa"/>
          </w:tcPr>
          <w:p w:rsidR="00057CB5" w:rsidRPr="00057CB5" w:rsidRDefault="00057CB5" w:rsidP="00057CB5">
            <w:pPr>
              <w:jc w:val="both"/>
              <w:rPr>
                <w:rFonts w:ascii="Arial" w:hAnsi="Arial" w:cs="Arial"/>
                <w:szCs w:val="24"/>
              </w:rPr>
            </w:pPr>
            <w:r w:rsidRPr="00057CB5">
              <w:rPr>
                <w:rFonts w:ascii="Arial" w:hAnsi="Arial" w:cs="Arial"/>
                <w:b/>
                <w:szCs w:val="24"/>
              </w:rPr>
              <w:t>Fecha de inicio de envío de resúmenes:</w:t>
            </w:r>
            <w:r w:rsidRPr="00057CB5">
              <w:rPr>
                <w:rFonts w:ascii="Arial" w:hAnsi="Arial" w:cs="Arial"/>
                <w:szCs w:val="24"/>
              </w:rPr>
              <w:t xml:space="preserve"> 20 de noviembre de 2022</w:t>
            </w:r>
          </w:p>
          <w:p w:rsidR="00057CB5" w:rsidRPr="00057CB5" w:rsidRDefault="00057CB5" w:rsidP="00057CB5">
            <w:pPr>
              <w:jc w:val="both"/>
              <w:rPr>
                <w:rFonts w:ascii="Arial" w:hAnsi="Arial" w:cs="Arial"/>
                <w:szCs w:val="24"/>
              </w:rPr>
            </w:pPr>
            <w:r w:rsidRPr="00057CB5">
              <w:rPr>
                <w:rFonts w:ascii="Arial" w:hAnsi="Arial" w:cs="Arial"/>
                <w:b/>
                <w:szCs w:val="24"/>
              </w:rPr>
              <w:t>Fecha límite de envío de resúmenes:</w:t>
            </w:r>
            <w:r w:rsidRPr="00057CB5">
              <w:rPr>
                <w:rFonts w:ascii="Arial" w:hAnsi="Arial" w:cs="Arial"/>
                <w:szCs w:val="24"/>
              </w:rPr>
              <w:t xml:space="preserve"> 20 de enero de 2023</w:t>
            </w:r>
          </w:p>
          <w:p w:rsidR="00057CB5" w:rsidRPr="00057CB5" w:rsidRDefault="00057CB5" w:rsidP="00057CB5">
            <w:pPr>
              <w:jc w:val="both"/>
              <w:rPr>
                <w:rFonts w:ascii="Arial" w:hAnsi="Arial" w:cs="Arial"/>
                <w:szCs w:val="24"/>
              </w:rPr>
            </w:pPr>
            <w:r w:rsidRPr="00057CB5">
              <w:rPr>
                <w:rFonts w:ascii="Arial" w:hAnsi="Arial" w:cs="Arial"/>
                <w:b/>
                <w:szCs w:val="24"/>
              </w:rPr>
              <w:t>Actualización para aceptación de resúmenes y participación:</w:t>
            </w:r>
            <w:r w:rsidRPr="00057CB5">
              <w:rPr>
                <w:rFonts w:ascii="Arial" w:hAnsi="Arial" w:cs="Arial"/>
                <w:szCs w:val="24"/>
              </w:rPr>
              <w:t xml:space="preserve"> 20 de febrero de 2023</w:t>
            </w:r>
          </w:p>
          <w:p w:rsidR="00057CB5" w:rsidRPr="00057CB5" w:rsidRDefault="00057CB5" w:rsidP="00057CB5">
            <w:pPr>
              <w:jc w:val="both"/>
              <w:rPr>
                <w:rFonts w:ascii="Arial" w:hAnsi="Arial" w:cs="Arial"/>
                <w:szCs w:val="24"/>
              </w:rPr>
            </w:pPr>
            <w:r w:rsidRPr="00057CB5">
              <w:rPr>
                <w:rFonts w:ascii="Arial" w:hAnsi="Arial" w:cs="Arial"/>
                <w:b/>
                <w:szCs w:val="24"/>
              </w:rPr>
              <w:t xml:space="preserve">Fecha límite de envío de resúmenes a concurso: </w:t>
            </w:r>
            <w:r w:rsidRPr="00057CB5">
              <w:rPr>
                <w:rFonts w:ascii="Arial" w:hAnsi="Arial" w:cs="Arial"/>
                <w:szCs w:val="24"/>
              </w:rPr>
              <w:t>20 de marzo de 2023</w:t>
            </w:r>
          </w:p>
          <w:p w:rsidR="00057CB5" w:rsidRDefault="00057CB5" w:rsidP="00057CB5">
            <w:pPr>
              <w:jc w:val="both"/>
              <w:rPr>
                <w:rFonts w:ascii="Arial" w:hAnsi="Arial" w:cs="Arial"/>
                <w:sz w:val="24"/>
                <w:szCs w:val="24"/>
              </w:rPr>
            </w:pPr>
            <w:r w:rsidRPr="00057CB5">
              <w:rPr>
                <w:rFonts w:ascii="Arial" w:hAnsi="Arial" w:cs="Arial"/>
                <w:b/>
                <w:szCs w:val="24"/>
              </w:rPr>
              <w:t xml:space="preserve">Realización de los trabajos de la conferencia: </w:t>
            </w:r>
            <w:r w:rsidRPr="00057CB5">
              <w:rPr>
                <w:rFonts w:ascii="Arial" w:hAnsi="Arial" w:cs="Arial"/>
                <w:szCs w:val="24"/>
              </w:rPr>
              <w:t>26 y 27 de marzo de 2023</w:t>
            </w:r>
          </w:p>
        </w:tc>
      </w:tr>
    </w:tbl>
    <w:p w:rsidR="00057CB5" w:rsidRDefault="00057CB5" w:rsidP="00885CC1">
      <w:pPr>
        <w:spacing w:line="360" w:lineRule="auto"/>
        <w:jc w:val="both"/>
        <w:rPr>
          <w:rFonts w:ascii="Arial" w:hAnsi="Arial" w:cs="Arial"/>
          <w:sz w:val="24"/>
          <w:szCs w:val="24"/>
        </w:rPr>
      </w:pPr>
    </w:p>
    <w:p w:rsidR="00885CC1" w:rsidRPr="00885CC1" w:rsidRDefault="00057CB5" w:rsidP="00885CC1">
      <w:pPr>
        <w:spacing w:line="360" w:lineRule="auto"/>
        <w:jc w:val="both"/>
        <w:rPr>
          <w:rFonts w:ascii="Arial" w:hAnsi="Arial" w:cs="Arial"/>
          <w:sz w:val="24"/>
          <w:szCs w:val="24"/>
        </w:rPr>
      </w:pPr>
      <w:r>
        <w:rPr>
          <w:rFonts w:ascii="Arial" w:hAnsi="Arial" w:cs="Arial"/>
          <w:sz w:val="24"/>
          <w:szCs w:val="24"/>
        </w:rPr>
        <w:t>Quienes deseen participar en el congreso</w:t>
      </w:r>
      <w:r w:rsidR="00885CC1" w:rsidRPr="00885CC1">
        <w:rPr>
          <w:rFonts w:ascii="Arial" w:hAnsi="Arial" w:cs="Arial"/>
          <w:sz w:val="24"/>
          <w:szCs w:val="24"/>
        </w:rPr>
        <w:t xml:space="preserve"> como </w:t>
      </w:r>
      <w:r w:rsidR="00643EB1">
        <w:rPr>
          <w:rFonts w:ascii="Arial" w:hAnsi="Arial" w:cs="Arial"/>
          <w:sz w:val="24"/>
          <w:szCs w:val="24"/>
        </w:rPr>
        <w:t>ponentes</w:t>
      </w:r>
      <w:r w:rsidR="00885CC1" w:rsidRPr="00885CC1">
        <w:rPr>
          <w:rFonts w:ascii="Arial" w:hAnsi="Arial" w:cs="Arial"/>
          <w:sz w:val="24"/>
          <w:szCs w:val="24"/>
        </w:rPr>
        <w:t xml:space="preserve"> -mediante presentación o anuncio publicado o taller- deberán enviar un resumen de su trabajo a través del formulario especial en el sitio web: </w:t>
      </w:r>
      <w:r w:rsidR="00885CC1" w:rsidRPr="00643EB1">
        <w:rPr>
          <w:rStyle w:val="-"/>
          <w:rFonts w:ascii="Times New Roman" w:hAnsi="Times New Roman" w:cs="Times New Roman"/>
          <w:lang w:val="en-US"/>
        </w:rPr>
        <w:t xml:space="preserve">http://www.iake.gr </w:t>
      </w:r>
      <w:r w:rsidR="00885CC1" w:rsidRPr="00885CC1">
        <w:rPr>
          <w:rFonts w:ascii="Arial" w:hAnsi="Arial" w:cs="Arial"/>
          <w:sz w:val="24"/>
          <w:szCs w:val="24"/>
        </w:rPr>
        <w:t xml:space="preserve">o </w:t>
      </w:r>
      <w:r w:rsidR="00885CC1" w:rsidRPr="00643EB1">
        <w:rPr>
          <w:rStyle w:val="-"/>
          <w:rFonts w:ascii="Times New Roman" w:hAnsi="Times New Roman" w:cs="Times New Roman"/>
          <w:lang w:val="en-US"/>
        </w:rPr>
        <w:t>http://iake. weebly.com</w:t>
      </w:r>
      <w:r w:rsidR="00885CC1" w:rsidRPr="00885CC1">
        <w:rPr>
          <w:rFonts w:ascii="Arial" w:hAnsi="Arial" w:cs="Arial"/>
          <w:sz w:val="24"/>
          <w:szCs w:val="24"/>
        </w:rPr>
        <w:t>, donde se pueden encontrar todas las instrucciones requeridas. El texto del resumen debe tener una extensión máxima de 300 palabras y acompañarse de los datos de los autores, así como la indicación del tipo de trabajo y el área temática a la que pertenece.</w:t>
      </w:r>
    </w:p>
    <w:p w:rsidR="00885CC1" w:rsidRPr="00885CC1" w:rsidRDefault="00885CC1" w:rsidP="00885CC1">
      <w:pPr>
        <w:spacing w:line="360" w:lineRule="auto"/>
        <w:jc w:val="both"/>
        <w:rPr>
          <w:rFonts w:ascii="Arial" w:hAnsi="Arial" w:cs="Arial"/>
          <w:sz w:val="24"/>
          <w:szCs w:val="24"/>
        </w:rPr>
      </w:pPr>
      <w:r w:rsidRPr="00885CC1">
        <w:rPr>
          <w:rFonts w:ascii="Arial" w:hAnsi="Arial" w:cs="Arial"/>
          <w:sz w:val="24"/>
          <w:szCs w:val="24"/>
        </w:rPr>
        <w:t>Cada trabajo puede ser presentado por uno o máximo cuatro ponentes. Cada expositor podrá participar con un máximo de dos ponencias, en calidad de primer, segundo, tercer o cuarto expositor.</w:t>
      </w:r>
    </w:p>
    <w:p w:rsidR="00885CC1" w:rsidRPr="00885CC1" w:rsidRDefault="00885CC1" w:rsidP="00885CC1">
      <w:pPr>
        <w:spacing w:line="360" w:lineRule="auto"/>
        <w:jc w:val="both"/>
        <w:rPr>
          <w:rFonts w:ascii="Arial" w:hAnsi="Arial" w:cs="Arial"/>
          <w:sz w:val="24"/>
          <w:szCs w:val="24"/>
        </w:rPr>
      </w:pPr>
      <w:r w:rsidRPr="00885CC1">
        <w:rPr>
          <w:rFonts w:ascii="Arial" w:hAnsi="Arial" w:cs="Arial"/>
          <w:sz w:val="24"/>
          <w:szCs w:val="24"/>
        </w:rPr>
        <w:t>La aceptación o no del resumen será anunciada antes del 20 de febrero de 2023.</w:t>
      </w:r>
    </w:p>
    <w:p w:rsidR="00885CC1" w:rsidRPr="000061C5" w:rsidRDefault="00885CC1" w:rsidP="00885CC1">
      <w:pPr>
        <w:spacing w:line="360" w:lineRule="auto"/>
        <w:jc w:val="both"/>
        <w:rPr>
          <w:rFonts w:ascii="Arial" w:hAnsi="Arial" w:cs="Arial"/>
          <w:b/>
          <w:sz w:val="24"/>
          <w:szCs w:val="24"/>
        </w:rPr>
      </w:pPr>
    </w:p>
    <w:p w:rsidR="00885CC1" w:rsidRPr="000061C5" w:rsidRDefault="00885CC1" w:rsidP="00885CC1">
      <w:pPr>
        <w:spacing w:line="360" w:lineRule="auto"/>
        <w:jc w:val="both"/>
        <w:rPr>
          <w:rFonts w:ascii="Arial" w:hAnsi="Arial" w:cs="Arial"/>
          <w:b/>
          <w:sz w:val="24"/>
          <w:szCs w:val="24"/>
        </w:rPr>
      </w:pPr>
      <w:r w:rsidRPr="000061C5">
        <w:rPr>
          <w:rFonts w:ascii="Arial" w:hAnsi="Arial" w:cs="Arial"/>
          <w:b/>
          <w:sz w:val="24"/>
          <w:szCs w:val="24"/>
        </w:rPr>
        <w:t>COSTO DE PARTICIPACIÓN</w:t>
      </w:r>
    </w:p>
    <w:p w:rsidR="00885CC1" w:rsidRDefault="00885CC1" w:rsidP="00643EB1">
      <w:pPr>
        <w:pStyle w:val="a3"/>
        <w:numPr>
          <w:ilvl w:val="0"/>
          <w:numId w:val="8"/>
        </w:numPr>
        <w:spacing w:line="360" w:lineRule="auto"/>
        <w:jc w:val="both"/>
        <w:rPr>
          <w:rFonts w:ascii="Arial" w:hAnsi="Arial" w:cs="Arial"/>
          <w:sz w:val="24"/>
          <w:szCs w:val="24"/>
        </w:rPr>
      </w:pPr>
      <w:r w:rsidRPr="00643EB1">
        <w:rPr>
          <w:rFonts w:ascii="Arial" w:hAnsi="Arial" w:cs="Arial"/>
          <w:sz w:val="24"/>
          <w:szCs w:val="24"/>
        </w:rPr>
        <w:t>El costo de participación en la Conferencia para cada ponente/co-presentador es de 50 euros y cubre: el expediente de la conferencia, certificado de ponente, el libro digital de resúmenes, actas digitales de la Conferencia, café durante los descansos.</w:t>
      </w:r>
    </w:p>
    <w:p w:rsidR="00885CC1" w:rsidRDefault="00885CC1" w:rsidP="00643EB1">
      <w:pPr>
        <w:pStyle w:val="a3"/>
        <w:numPr>
          <w:ilvl w:val="0"/>
          <w:numId w:val="8"/>
        </w:numPr>
        <w:spacing w:line="360" w:lineRule="auto"/>
        <w:jc w:val="both"/>
        <w:rPr>
          <w:rFonts w:ascii="Arial" w:hAnsi="Arial" w:cs="Arial"/>
          <w:sz w:val="24"/>
          <w:szCs w:val="24"/>
        </w:rPr>
      </w:pPr>
      <w:r w:rsidRPr="00643EB1">
        <w:rPr>
          <w:rFonts w:ascii="Arial" w:hAnsi="Arial" w:cs="Arial"/>
          <w:sz w:val="24"/>
          <w:szCs w:val="24"/>
        </w:rPr>
        <w:lastRenderedPageBreak/>
        <w:t>El costo de participación para participantes sin presentación es de 10 euros y cubre: el archivo de la conferencia, el libro digital de resúmenes, certificado de asistencia y café durante los descansos.</w:t>
      </w:r>
    </w:p>
    <w:p w:rsidR="00643EB1" w:rsidRDefault="00885CC1" w:rsidP="00643EB1">
      <w:pPr>
        <w:pStyle w:val="a3"/>
        <w:numPr>
          <w:ilvl w:val="0"/>
          <w:numId w:val="8"/>
        </w:numPr>
        <w:spacing w:line="360" w:lineRule="auto"/>
        <w:jc w:val="both"/>
        <w:rPr>
          <w:rFonts w:ascii="Arial" w:hAnsi="Arial" w:cs="Arial"/>
          <w:sz w:val="24"/>
          <w:szCs w:val="24"/>
        </w:rPr>
      </w:pPr>
      <w:r w:rsidRPr="00643EB1">
        <w:rPr>
          <w:rFonts w:ascii="Arial" w:hAnsi="Arial" w:cs="Arial"/>
          <w:sz w:val="24"/>
          <w:szCs w:val="24"/>
        </w:rPr>
        <w:t>La asistencia simple a las Jornadas es gratuita.</w:t>
      </w:r>
    </w:p>
    <w:p w:rsidR="00885CC1" w:rsidRPr="00643EB1" w:rsidRDefault="00885CC1" w:rsidP="00643EB1">
      <w:pPr>
        <w:pStyle w:val="a3"/>
        <w:numPr>
          <w:ilvl w:val="0"/>
          <w:numId w:val="8"/>
        </w:numPr>
        <w:spacing w:line="360" w:lineRule="auto"/>
        <w:jc w:val="both"/>
        <w:rPr>
          <w:rFonts w:ascii="Arial" w:hAnsi="Arial" w:cs="Arial"/>
          <w:sz w:val="24"/>
          <w:szCs w:val="24"/>
        </w:rPr>
      </w:pPr>
      <w:r w:rsidRPr="00643EB1">
        <w:rPr>
          <w:rFonts w:ascii="Arial" w:hAnsi="Arial" w:cs="Arial"/>
          <w:sz w:val="24"/>
          <w:szCs w:val="24"/>
        </w:rPr>
        <w:t>Los presentadores depositarán el monto adeudado luego de la aprobación de su resumen, en las fechas que serán anunciadas en la próxima convocatoria.</w:t>
      </w:r>
    </w:p>
    <w:p w:rsidR="00885CC1" w:rsidRPr="000061C5" w:rsidRDefault="00885CC1" w:rsidP="00885CC1">
      <w:pPr>
        <w:spacing w:line="360" w:lineRule="auto"/>
        <w:jc w:val="both"/>
        <w:rPr>
          <w:rFonts w:ascii="Arial" w:hAnsi="Arial" w:cs="Arial"/>
          <w:b/>
          <w:sz w:val="24"/>
          <w:szCs w:val="24"/>
        </w:rPr>
      </w:pPr>
      <w:r w:rsidRPr="000061C5">
        <w:rPr>
          <w:rFonts w:ascii="Arial" w:hAnsi="Arial" w:cs="Arial"/>
          <w:b/>
          <w:sz w:val="24"/>
          <w:szCs w:val="24"/>
        </w:rPr>
        <w:t>CONCURSO - PREMIO DEL TRABAJO</w:t>
      </w:r>
    </w:p>
    <w:p w:rsidR="00885CC1" w:rsidRPr="00885CC1" w:rsidRDefault="00885CC1" w:rsidP="00885CC1">
      <w:pPr>
        <w:spacing w:line="360" w:lineRule="auto"/>
        <w:jc w:val="both"/>
        <w:rPr>
          <w:rFonts w:ascii="Arial" w:hAnsi="Arial" w:cs="Arial"/>
          <w:sz w:val="24"/>
          <w:szCs w:val="24"/>
        </w:rPr>
      </w:pPr>
      <w:r w:rsidRPr="00885CC1">
        <w:rPr>
          <w:rFonts w:ascii="Arial" w:hAnsi="Arial" w:cs="Arial"/>
          <w:sz w:val="24"/>
          <w:szCs w:val="24"/>
        </w:rPr>
        <w:t>El Instituto de Humanidades y Estudios Sociales premiará los mejores trabajos científicos, por área temática del Congreso, en las categorías:</w:t>
      </w:r>
    </w:p>
    <w:p w:rsidR="00885CC1" w:rsidRPr="000061C5" w:rsidRDefault="00885CC1" w:rsidP="00643EB1">
      <w:pPr>
        <w:spacing w:after="0" w:line="360" w:lineRule="auto"/>
        <w:ind w:left="708"/>
        <w:jc w:val="both"/>
        <w:rPr>
          <w:rFonts w:ascii="Arial" w:hAnsi="Arial" w:cs="Arial"/>
          <w:b/>
          <w:sz w:val="24"/>
          <w:szCs w:val="24"/>
        </w:rPr>
      </w:pPr>
      <w:r w:rsidRPr="000061C5">
        <w:rPr>
          <w:rFonts w:ascii="Arial" w:hAnsi="Arial" w:cs="Arial"/>
          <w:b/>
          <w:sz w:val="24"/>
          <w:szCs w:val="24"/>
        </w:rPr>
        <w:t>A. Mejor trabajo científico</w:t>
      </w:r>
    </w:p>
    <w:p w:rsidR="00885CC1" w:rsidRPr="000061C5" w:rsidRDefault="00885CC1" w:rsidP="00643EB1">
      <w:pPr>
        <w:spacing w:after="0" w:line="360" w:lineRule="auto"/>
        <w:ind w:firstLine="708"/>
        <w:jc w:val="both"/>
        <w:rPr>
          <w:rFonts w:ascii="Arial" w:hAnsi="Arial" w:cs="Arial"/>
          <w:b/>
          <w:sz w:val="24"/>
          <w:szCs w:val="24"/>
        </w:rPr>
      </w:pPr>
      <w:r w:rsidRPr="000061C5">
        <w:rPr>
          <w:rFonts w:ascii="Arial" w:hAnsi="Arial" w:cs="Arial"/>
          <w:b/>
          <w:sz w:val="24"/>
          <w:szCs w:val="24"/>
        </w:rPr>
        <w:t>B. Mejor propuesta didáctica</w:t>
      </w:r>
    </w:p>
    <w:p w:rsidR="00885CC1" w:rsidRPr="00885CC1" w:rsidRDefault="00885CC1" w:rsidP="00885CC1">
      <w:pPr>
        <w:spacing w:line="360" w:lineRule="auto"/>
        <w:jc w:val="both"/>
        <w:rPr>
          <w:rFonts w:ascii="Arial" w:hAnsi="Arial" w:cs="Arial"/>
          <w:sz w:val="24"/>
          <w:szCs w:val="24"/>
        </w:rPr>
      </w:pPr>
      <w:r w:rsidRPr="00885CC1">
        <w:rPr>
          <w:rFonts w:ascii="Arial" w:hAnsi="Arial" w:cs="Arial"/>
          <w:sz w:val="24"/>
          <w:szCs w:val="24"/>
        </w:rPr>
        <w:t xml:space="preserve">Con el fin de apoyar a los jóvenes investigadores y científicos, se premiarán, de manera auxiliar, los trabajos más valiosos presentados por: </w:t>
      </w:r>
      <w:r w:rsidRPr="000061C5">
        <w:rPr>
          <w:rFonts w:ascii="Arial" w:hAnsi="Arial" w:cs="Arial"/>
          <w:b/>
          <w:sz w:val="24"/>
          <w:szCs w:val="24"/>
        </w:rPr>
        <w:t>a) estudiantes de pregrado,</w:t>
      </w:r>
      <w:r w:rsidRPr="00885CC1">
        <w:rPr>
          <w:rFonts w:ascii="Arial" w:hAnsi="Arial" w:cs="Arial"/>
          <w:sz w:val="24"/>
          <w:szCs w:val="24"/>
        </w:rPr>
        <w:t xml:space="preserve"> </w:t>
      </w:r>
      <w:r w:rsidRPr="000061C5">
        <w:rPr>
          <w:rFonts w:ascii="Arial" w:hAnsi="Arial" w:cs="Arial"/>
          <w:b/>
          <w:sz w:val="24"/>
          <w:szCs w:val="24"/>
        </w:rPr>
        <w:t>b) estudiantes de posgrado, c) jóvenes científicos</w:t>
      </w:r>
      <w:r w:rsidRPr="00885CC1">
        <w:rPr>
          <w:rFonts w:ascii="Arial" w:hAnsi="Arial" w:cs="Arial"/>
          <w:sz w:val="24"/>
          <w:szCs w:val="24"/>
        </w:rPr>
        <w:t xml:space="preserve"> que presenten un artículo científico por primera vez.</w:t>
      </w:r>
    </w:p>
    <w:p w:rsidR="00885CC1" w:rsidRPr="00885CC1" w:rsidRDefault="00885CC1" w:rsidP="00885CC1">
      <w:pPr>
        <w:spacing w:line="360" w:lineRule="auto"/>
        <w:jc w:val="both"/>
        <w:rPr>
          <w:rFonts w:ascii="Arial" w:hAnsi="Arial" w:cs="Arial"/>
          <w:sz w:val="24"/>
          <w:szCs w:val="24"/>
        </w:rPr>
      </w:pPr>
      <w:r w:rsidRPr="00885CC1">
        <w:rPr>
          <w:rFonts w:ascii="Arial" w:hAnsi="Arial" w:cs="Arial"/>
          <w:sz w:val="24"/>
          <w:szCs w:val="24"/>
        </w:rPr>
        <w:t xml:space="preserve">       Los resultados del concurso serán publicados por el Comité Científico en base a los resultados generales del dictamen anónimo de los textos finales de los trabajos. El proceso de evaluación de los textos finales sigue a la evaluación de los resúmenes. Los textos completos de los trabajos se evalúan en función de sus características cualitativas en los criterios de: a) originalidad, b) metodología, c) estructura, d) contenido y e) documentación.</w:t>
      </w:r>
    </w:p>
    <w:p w:rsidR="00885CC1" w:rsidRPr="00643EB1" w:rsidRDefault="00885CC1" w:rsidP="00885CC1">
      <w:pPr>
        <w:spacing w:line="360" w:lineRule="auto"/>
        <w:jc w:val="both"/>
        <w:rPr>
          <w:rFonts w:ascii="Arial" w:hAnsi="Arial" w:cs="Arial"/>
          <w:b/>
          <w:sz w:val="24"/>
          <w:szCs w:val="24"/>
          <w:u w:val="single"/>
        </w:rPr>
      </w:pPr>
      <w:r w:rsidRPr="00643EB1">
        <w:rPr>
          <w:rFonts w:ascii="Arial" w:hAnsi="Arial" w:cs="Arial"/>
          <w:b/>
          <w:sz w:val="24"/>
          <w:szCs w:val="24"/>
          <w:u w:val="single"/>
        </w:rPr>
        <w:t>Solo se aceptarán en el concurso los trabajos presentados hasta el 20 de marzo de 2023.</w:t>
      </w:r>
    </w:p>
    <w:p w:rsidR="00885CC1" w:rsidRPr="00885CC1" w:rsidRDefault="00885CC1" w:rsidP="00885CC1">
      <w:pPr>
        <w:spacing w:line="360" w:lineRule="auto"/>
        <w:jc w:val="both"/>
        <w:rPr>
          <w:rFonts w:ascii="Arial" w:hAnsi="Arial" w:cs="Arial"/>
          <w:sz w:val="24"/>
          <w:szCs w:val="24"/>
        </w:rPr>
      </w:pPr>
      <w:r w:rsidRPr="00885CC1">
        <w:rPr>
          <w:rFonts w:ascii="Arial" w:hAnsi="Arial" w:cs="Arial"/>
          <w:sz w:val="24"/>
          <w:szCs w:val="24"/>
        </w:rPr>
        <w:t>Los premios y distinciones se entregarán en la ceremonia de clausura del Congreso.</w:t>
      </w:r>
    </w:p>
    <w:p w:rsidR="00885CC1" w:rsidRPr="00885CC1" w:rsidRDefault="000061C5" w:rsidP="00885CC1">
      <w:pPr>
        <w:spacing w:line="360" w:lineRule="auto"/>
        <w:jc w:val="both"/>
        <w:rPr>
          <w:rFonts w:ascii="Arial" w:hAnsi="Arial" w:cs="Arial"/>
          <w:sz w:val="24"/>
          <w:szCs w:val="24"/>
        </w:rPr>
      </w:pPr>
      <w:r>
        <w:rPr>
          <w:rFonts w:ascii="Arial" w:hAnsi="Arial" w:cs="Arial"/>
          <w:sz w:val="24"/>
          <w:szCs w:val="24"/>
        </w:rPr>
        <w:t xml:space="preserve"> </w:t>
      </w:r>
      <w:r w:rsidR="00885CC1" w:rsidRPr="00885CC1">
        <w:rPr>
          <w:rFonts w:ascii="Arial" w:hAnsi="Arial" w:cs="Arial"/>
          <w:sz w:val="24"/>
          <w:szCs w:val="24"/>
        </w:rPr>
        <w:t xml:space="preserve">Las instrucciones para la preparación de los textos completos de los trabajos finales están disponibles en nuestros sitios </w:t>
      </w:r>
      <w:r w:rsidR="00885CC1" w:rsidRPr="000061C5">
        <w:rPr>
          <w:rStyle w:val="-"/>
          <w:rFonts w:ascii="Times New Roman" w:hAnsi="Times New Roman" w:cs="Times New Roman"/>
          <w:lang w:val="en-US"/>
        </w:rPr>
        <w:t>web: http://www.iake.gr</w:t>
      </w:r>
      <w:r w:rsidR="00885CC1" w:rsidRPr="00885CC1">
        <w:rPr>
          <w:rFonts w:ascii="Arial" w:hAnsi="Arial" w:cs="Arial"/>
          <w:sz w:val="24"/>
          <w:szCs w:val="24"/>
        </w:rPr>
        <w:t xml:space="preserve"> y </w:t>
      </w:r>
      <w:r w:rsidR="00885CC1" w:rsidRPr="000061C5">
        <w:rPr>
          <w:rStyle w:val="-"/>
          <w:rFonts w:ascii="Times New Roman" w:hAnsi="Times New Roman" w:cs="Times New Roman"/>
          <w:lang w:val="en-US"/>
        </w:rPr>
        <w:t>https://iake.weebly.com</w:t>
      </w:r>
    </w:p>
    <w:p w:rsidR="00885CC1" w:rsidRPr="00885CC1" w:rsidRDefault="00885CC1" w:rsidP="00885CC1">
      <w:pPr>
        <w:spacing w:line="360" w:lineRule="auto"/>
        <w:jc w:val="both"/>
        <w:rPr>
          <w:rFonts w:ascii="Arial" w:hAnsi="Arial" w:cs="Arial"/>
          <w:sz w:val="24"/>
          <w:szCs w:val="24"/>
        </w:rPr>
      </w:pPr>
    </w:p>
    <w:p w:rsidR="00643EB1" w:rsidRDefault="00643EB1" w:rsidP="00885CC1">
      <w:pPr>
        <w:spacing w:line="360" w:lineRule="auto"/>
        <w:jc w:val="both"/>
        <w:rPr>
          <w:rFonts w:ascii="Arial" w:hAnsi="Arial" w:cs="Arial"/>
          <w:b/>
          <w:sz w:val="24"/>
          <w:szCs w:val="24"/>
        </w:rPr>
      </w:pPr>
    </w:p>
    <w:p w:rsidR="00885CC1" w:rsidRPr="00643EB1" w:rsidRDefault="00885CC1" w:rsidP="00885CC1">
      <w:pPr>
        <w:spacing w:line="360" w:lineRule="auto"/>
        <w:jc w:val="both"/>
        <w:rPr>
          <w:rFonts w:ascii="Arial" w:hAnsi="Arial" w:cs="Arial"/>
          <w:b/>
          <w:sz w:val="24"/>
          <w:szCs w:val="24"/>
        </w:rPr>
      </w:pPr>
      <w:r w:rsidRPr="001851DB">
        <w:rPr>
          <w:rFonts w:ascii="Arial" w:hAnsi="Arial" w:cs="Arial"/>
          <w:b/>
          <w:sz w:val="24"/>
          <w:szCs w:val="24"/>
        </w:rPr>
        <w:t>EVENTOS PARALELOS</w:t>
      </w:r>
    </w:p>
    <w:p w:rsidR="00885CC1" w:rsidRPr="00885CC1" w:rsidRDefault="00885CC1" w:rsidP="00885CC1">
      <w:pPr>
        <w:spacing w:line="360" w:lineRule="auto"/>
        <w:jc w:val="both"/>
        <w:rPr>
          <w:rFonts w:ascii="Arial" w:hAnsi="Arial" w:cs="Arial"/>
          <w:sz w:val="24"/>
          <w:szCs w:val="24"/>
        </w:rPr>
      </w:pPr>
      <w:r w:rsidRPr="00885CC1">
        <w:rPr>
          <w:rFonts w:ascii="Arial" w:hAnsi="Arial" w:cs="Arial"/>
          <w:sz w:val="24"/>
          <w:szCs w:val="24"/>
        </w:rPr>
        <w:t>En el marco de la Conferencia, están previstas una serie de actividades y eventos paralelos, visando el conocimiento, el entretenimiento y la interacción de los participantes y sus asistentes.</w:t>
      </w:r>
    </w:p>
    <w:p w:rsidR="00885CC1" w:rsidRPr="00643EB1" w:rsidRDefault="00885CC1" w:rsidP="00643EB1">
      <w:pPr>
        <w:pStyle w:val="a3"/>
        <w:numPr>
          <w:ilvl w:val="0"/>
          <w:numId w:val="9"/>
        </w:numPr>
        <w:spacing w:line="360" w:lineRule="auto"/>
        <w:jc w:val="both"/>
        <w:rPr>
          <w:rFonts w:ascii="Arial" w:hAnsi="Arial" w:cs="Arial"/>
          <w:sz w:val="24"/>
          <w:szCs w:val="24"/>
        </w:rPr>
      </w:pPr>
      <w:r w:rsidRPr="00643EB1">
        <w:rPr>
          <w:rFonts w:ascii="Arial" w:hAnsi="Arial" w:cs="Arial"/>
          <w:b/>
          <w:sz w:val="24"/>
          <w:szCs w:val="24"/>
        </w:rPr>
        <w:t>1er evento paralelo:</w:t>
      </w:r>
      <w:r w:rsidRPr="00643EB1">
        <w:rPr>
          <w:rFonts w:ascii="Arial" w:hAnsi="Arial" w:cs="Arial"/>
          <w:sz w:val="24"/>
          <w:szCs w:val="24"/>
        </w:rPr>
        <w:t xml:space="preserve"> Visita guiada a los monumentos histórico-arqueológicos de la zona.</w:t>
      </w:r>
    </w:p>
    <w:p w:rsidR="00885CC1" w:rsidRPr="00643EB1" w:rsidRDefault="00885CC1" w:rsidP="00643EB1">
      <w:pPr>
        <w:pStyle w:val="a3"/>
        <w:numPr>
          <w:ilvl w:val="0"/>
          <w:numId w:val="9"/>
        </w:numPr>
        <w:spacing w:line="360" w:lineRule="auto"/>
        <w:jc w:val="both"/>
        <w:rPr>
          <w:rFonts w:ascii="Arial" w:hAnsi="Arial" w:cs="Arial"/>
          <w:sz w:val="24"/>
          <w:szCs w:val="24"/>
        </w:rPr>
      </w:pPr>
      <w:r w:rsidRPr="00643EB1">
        <w:rPr>
          <w:rFonts w:ascii="Arial" w:hAnsi="Arial" w:cs="Arial"/>
          <w:b/>
          <w:sz w:val="24"/>
          <w:szCs w:val="24"/>
        </w:rPr>
        <w:t>2do evento paralelo:</w:t>
      </w:r>
      <w:r w:rsidRPr="00643EB1">
        <w:rPr>
          <w:rFonts w:ascii="Arial" w:hAnsi="Arial" w:cs="Arial"/>
          <w:sz w:val="24"/>
          <w:szCs w:val="24"/>
        </w:rPr>
        <w:t xml:space="preserve"> Entretenida velada para conocer la música y las delicias gastronómicas de Creta, en el 2do día de la Conferencia.</w:t>
      </w:r>
    </w:p>
    <w:p w:rsidR="00885CC1" w:rsidRPr="00643EB1" w:rsidRDefault="00885CC1" w:rsidP="00885CC1">
      <w:pPr>
        <w:pStyle w:val="a3"/>
        <w:numPr>
          <w:ilvl w:val="0"/>
          <w:numId w:val="9"/>
        </w:numPr>
        <w:spacing w:line="360" w:lineRule="auto"/>
        <w:jc w:val="both"/>
        <w:rPr>
          <w:rFonts w:ascii="Arial" w:hAnsi="Arial" w:cs="Arial"/>
          <w:sz w:val="24"/>
          <w:szCs w:val="24"/>
        </w:rPr>
      </w:pPr>
      <w:r w:rsidRPr="00643EB1">
        <w:rPr>
          <w:rFonts w:ascii="Arial" w:hAnsi="Arial" w:cs="Arial"/>
          <w:b/>
          <w:sz w:val="24"/>
          <w:szCs w:val="24"/>
        </w:rPr>
        <w:t>3er evento paralelo:</w:t>
      </w:r>
      <w:r w:rsidRPr="00643EB1">
        <w:rPr>
          <w:rFonts w:ascii="Arial" w:hAnsi="Arial" w:cs="Arial"/>
          <w:sz w:val="24"/>
          <w:szCs w:val="24"/>
        </w:rPr>
        <w:t xml:space="preserve"> Excursión de un día a un destino arqueológico y amante de la naturaleza de Creta, en el 3er día de la Conferencia.</w:t>
      </w:r>
    </w:p>
    <w:p w:rsidR="00885CC1" w:rsidRPr="00885CC1" w:rsidRDefault="00885CC1" w:rsidP="00885CC1">
      <w:pPr>
        <w:spacing w:line="360" w:lineRule="auto"/>
        <w:jc w:val="both"/>
        <w:rPr>
          <w:rFonts w:ascii="Arial" w:hAnsi="Arial" w:cs="Arial"/>
          <w:sz w:val="24"/>
          <w:szCs w:val="24"/>
        </w:rPr>
      </w:pPr>
      <w:r w:rsidRPr="00885CC1">
        <w:rPr>
          <w:rFonts w:ascii="Arial" w:hAnsi="Arial" w:cs="Arial"/>
          <w:sz w:val="24"/>
          <w:szCs w:val="24"/>
        </w:rPr>
        <w:t xml:space="preserve">        Se puede encontrar más información sobre la Conferencia, el alojamiento en la ciudad y otros temas relevantes en los sitios web de IAKE: </w:t>
      </w:r>
      <w:r w:rsidRPr="00643EB1">
        <w:rPr>
          <w:rStyle w:val="-"/>
          <w:rFonts w:ascii="Times New Roman" w:hAnsi="Times New Roman" w:cs="Times New Roman"/>
          <w:lang w:val="en-US"/>
        </w:rPr>
        <w:t>http://www.iake.gr</w:t>
      </w:r>
      <w:r w:rsidRPr="00885CC1">
        <w:rPr>
          <w:rFonts w:ascii="Arial" w:hAnsi="Arial" w:cs="Arial"/>
          <w:sz w:val="24"/>
          <w:szCs w:val="24"/>
        </w:rPr>
        <w:t xml:space="preserve"> y </w:t>
      </w:r>
      <w:r w:rsidRPr="00643EB1">
        <w:rPr>
          <w:rStyle w:val="-"/>
          <w:rFonts w:ascii="Times New Roman" w:hAnsi="Times New Roman" w:cs="Times New Roman"/>
          <w:lang w:val="en-US"/>
        </w:rPr>
        <w:t>https://iake.weebly.com</w:t>
      </w:r>
    </w:p>
    <w:p w:rsidR="00885CC1" w:rsidRPr="00885CC1" w:rsidRDefault="00885CC1" w:rsidP="00885CC1">
      <w:pPr>
        <w:spacing w:line="360" w:lineRule="auto"/>
        <w:jc w:val="both"/>
        <w:rPr>
          <w:rFonts w:ascii="Arial" w:hAnsi="Arial" w:cs="Arial"/>
          <w:sz w:val="24"/>
          <w:szCs w:val="24"/>
        </w:rPr>
      </w:pPr>
    </w:p>
    <w:p w:rsidR="00885CC1" w:rsidRPr="00885CC1" w:rsidRDefault="00091F85" w:rsidP="00091F85">
      <w:pPr>
        <w:spacing w:line="360" w:lineRule="auto"/>
        <w:jc w:val="center"/>
        <w:rPr>
          <w:rFonts w:ascii="Arial" w:hAnsi="Arial" w:cs="Arial"/>
          <w:sz w:val="24"/>
          <w:szCs w:val="24"/>
        </w:rPr>
      </w:pPr>
      <w:r>
        <w:rPr>
          <w:rFonts w:ascii="Arial" w:hAnsi="Arial" w:cs="Arial"/>
          <w:sz w:val="24"/>
          <w:szCs w:val="24"/>
        </w:rPr>
        <w:t>De usted</w:t>
      </w:r>
      <w:r w:rsidR="00885CC1" w:rsidRPr="00885CC1">
        <w:rPr>
          <w:rFonts w:ascii="Arial" w:hAnsi="Arial" w:cs="Arial"/>
          <w:sz w:val="24"/>
          <w:szCs w:val="24"/>
        </w:rPr>
        <w:t xml:space="preserve"> sinceramente,</w:t>
      </w:r>
    </w:p>
    <w:p w:rsidR="00885CC1" w:rsidRPr="00885CC1" w:rsidRDefault="00885CC1" w:rsidP="00091F85">
      <w:pPr>
        <w:spacing w:line="360" w:lineRule="auto"/>
        <w:jc w:val="center"/>
        <w:rPr>
          <w:rFonts w:ascii="Arial" w:hAnsi="Arial" w:cs="Arial"/>
          <w:sz w:val="24"/>
          <w:szCs w:val="24"/>
        </w:rPr>
      </w:pPr>
    </w:p>
    <w:p w:rsidR="00885CC1" w:rsidRPr="00885CC1" w:rsidRDefault="00885CC1" w:rsidP="00091F85">
      <w:pPr>
        <w:spacing w:line="360" w:lineRule="auto"/>
        <w:jc w:val="center"/>
        <w:rPr>
          <w:rFonts w:ascii="Arial" w:hAnsi="Arial" w:cs="Arial"/>
          <w:sz w:val="24"/>
          <w:szCs w:val="24"/>
        </w:rPr>
      </w:pPr>
      <w:r w:rsidRPr="00885CC1">
        <w:rPr>
          <w:rFonts w:ascii="Arial" w:hAnsi="Arial" w:cs="Arial"/>
          <w:sz w:val="24"/>
          <w:szCs w:val="24"/>
        </w:rPr>
        <w:t>LA JUNTA DIRECTIVA</w:t>
      </w:r>
    </w:p>
    <w:p w:rsidR="00885CC1" w:rsidRPr="00885CC1" w:rsidRDefault="00885CC1" w:rsidP="00091F85">
      <w:pPr>
        <w:spacing w:line="360" w:lineRule="auto"/>
        <w:jc w:val="center"/>
        <w:rPr>
          <w:rFonts w:ascii="Arial" w:hAnsi="Arial" w:cs="Arial"/>
          <w:sz w:val="24"/>
          <w:szCs w:val="24"/>
        </w:rPr>
      </w:pPr>
    </w:p>
    <w:p w:rsidR="00885CC1" w:rsidRPr="00885CC1" w:rsidRDefault="00885CC1" w:rsidP="00091F85">
      <w:pPr>
        <w:spacing w:line="360" w:lineRule="auto"/>
        <w:jc w:val="center"/>
        <w:rPr>
          <w:rFonts w:ascii="Arial" w:hAnsi="Arial" w:cs="Arial"/>
          <w:sz w:val="24"/>
          <w:szCs w:val="24"/>
        </w:rPr>
      </w:pPr>
    </w:p>
    <w:p w:rsidR="00885CC1" w:rsidRPr="00885CC1" w:rsidRDefault="00885CC1" w:rsidP="00091F85">
      <w:pPr>
        <w:spacing w:line="360" w:lineRule="auto"/>
        <w:jc w:val="center"/>
        <w:rPr>
          <w:rFonts w:ascii="Arial" w:hAnsi="Arial" w:cs="Arial"/>
          <w:sz w:val="24"/>
          <w:szCs w:val="24"/>
        </w:rPr>
      </w:pPr>
    </w:p>
    <w:p w:rsidR="00885CC1" w:rsidRPr="00885CC1" w:rsidRDefault="00885CC1" w:rsidP="00F54B2E">
      <w:pPr>
        <w:spacing w:line="360" w:lineRule="auto"/>
        <w:rPr>
          <w:rFonts w:ascii="Arial" w:hAnsi="Arial" w:cs="Arial"/>
          <w:sz w:val="24"/>
          <w:szCs w:val="24"/>
        </w:rPr>
      </w:pPr>
      <w:r w:rsidRPr="00885CC1">
        <w:rPr>
          <w:rFonts w:ascii="Arial" w:hAnsi="Arial" w:cs="Arial"/>
          <w:sz w:val="24"/>
          <w:szCs w:val="24"/>
        </w:rPr>
        <w:t>PRESIDENTE</w:t>
      </w:r>
      <w:r w:rsidR="00F54B2E">
        <w:rPr>
          <w:rFonts w:ascii="Arial" w:hAnsi="Arial" w:cs="Arial"/>
          <w:sz w:val="24"/>
          <w:szCs w:val="24"/>
        </w:rPr>
        <w:tab/>
      </w:r>
      <w:r w:rsidR="00F54B2E">
        <w:rPr>
          <w:rFonts w:ascii="Arial" w:hAnsi="Arial" w:cs="Arial"/>
          <w:sz w:val="24"/>
          <w:szCs w:val="24"/>
        </w:rPr>
        <w:tab/>
      </w:r>
      <w:r w:rsidR="00F54B2E">
        <w:rPr>
          <w:rFonts w:ascii="Arial" w:hAnsi="Arial" w:cs="Arial"/>
          <w:sz w:val="24"/>
          <w:szCs w:val="24"/>
        </w:rPr>
        <w:tab/>
      </w:r>
      <w:r w:rsidR="00F54B2E">
        <w:rPr>
          <w:rFonts w:ascii="Arial" w:hAnsi="Arial" w:cs="Arial"/>
          <w:sz w:val="24"/>
          <w:szCs w:val="24"/>
        </w:rPr>
        <w:tab/>
      </w:r>
      <w:r w:rsidR="00F54B2E">
        <w:rPr>
          <w:rFonts w:ascii="Arial" w:hAnsi="Arial" w:cs="Arial"/>
          <w:sz w:val="24"/>
          <w:szCs w:val="24"/>
        </w:rPr>
        <w:tab/>
        <w:t>SECRETARIA GENERAL</w:t>
      </w:r>
      <w:r w:rsidR="00F54B2E">
        <w:rPr>
          <w:rFonts w:ascii="Arial" w:hAnsi="Arial" w:cs="Arial"/>
          <w:sz w:val="24"/>
          <w:szCs w:val="24"/>
        </w:rPr>
        <w:tab/>
      </w:r>
    </w:p>
    <w:p w:rsidR="00F54B2E" w:rsidRPr="00885CC1" w:rsidRDefault="00885CC1" w:rsidP="00F54B2E">
      <w:pPr>
        <w:spacing w:line="360" w:lineRule="auto"/>
        <w:rPr>
          <w:rFonts w:ascii="Arial" w:hAnsi="Arial" w:cs="Arial"/>
          <w:sz w:val="24"/>
          <w:szCs w:val="24"/>
        </w:rPr>
      </w:pPr>
      <w:r w:rsidRPr="00885CC1">
        <w:rPr>
          <w:rFonts w:ascii="Arial" w:hAnsi="Arial" w:cs="Arial"/>
          <w:sz w:val="24"/>
          <w:szCs w:val="24"/>
        </w:rPr>
        <w:t>ELENI P. MARAKI</w:t>
      </w:r>
      <w:r w:rsidR="00F54B2E" w:rsidRPr="00F54B2E">
        <w:rPr>
          <w:rFonts w:ascii="Arial" w:hAnsi="Arial" w:cs="Arial"/>
          <w:sz w:val="24"/>
          <w:szCs w:val="24"/>
        </w:rPr>
        <w:t xml:space="preserve"> </w:t>
      </w:r>
      <w:r w:rsidR="00F54B2E">
        <w:rPr>
          <w:rFonts w:ascii="Arial" w:hAnsi="Arial" w:cs="Arial"/>
          <w:sz w:val="24"/>
          <w:szCs w:val="24"/>
        </w:rPr>
        <w:tab/>
      </w:r>
      <w:r w:rsidR="00F54B2E">
        <w:rPr>
          <w:rFonts w:ascii="Arial" w:hAnsi="Arial" w:cs="Arial"/>
          <w:sz w:val="24"/>
          <w:szCs w:val="24"/>
        </w:rPr>
        <w:tab/>
      </w:r>
      <w:r w:rsidR="00F54B2E">
        <w:rPr>
          <w:rFonts w:ascii="Arial" w:hAnsi="Arial" w:cs="Arial"/>
          <w:sz w:val="24"/>
          <w:szCs w:val="24"/>
        </w:rPr>
        <w:tab/>
      </w:r>
      <w:r w:rsidR="00F54B2E">
        <w:rPr>
          <w:rFonts w:ascii="Arial" w:hAnsi="Arial" w:cs="Arial"/>
          <w:sz w:val="24"/>
          <w:szCs w:val="24"/>
        </w:rPr>
        <w:tab/>
      </w:r>
      <w:r w:rsidR="00F54B2E">
        <w:rPr>
          <w:rFonts w:ascii="Arial" w:hAnsi="Arial" w:cs="Arial"/>
          <w:sz w:val="24"/>
          <w:szCs w:val="24"/>
        </w:rPr>
        <w:tab/>
      </w:r>
      <w:r w:rsidR="00F54B2E" w:rsidRPr="00885CC1">
        <w:rPr>
          <w:rFonts w:ascii="Arial" w:hAnsi="Arial" w:cs="Arial"/>
          <w:sz w:val="24"/>
          <w:szCs w:val="24"/>
        </w:rPr>
        <w:t>ZAFEIROULA I. MARINAKI</w:t>
      </w:r>
    </w:p>
    <w:p w:rsidR="00885CC1" w:rsidRPr="00885CC1" w:rsidRDefault="00885CC1" w:rsidP="00F54B2E">
      <w:pPr>
        <w:spacing w:line="360" w:lineRule="auto"/>
        <w:rPr>
          <w:rFonts w:ascii="Arial" w:hAnsi="Arial" w:cs="Arial"/>
          <w:sz w:val="24"/>
          <w:szCs w:val="24"/>
        </w:rPr>
      </w:pPr>
    </w:p>
    <w:p w:rsidR="00F54B2E" w:rsidRPr="00D17A20" w:rsidRDefault="00885CC1" w:rsidP="00F54B2E">
      <w:pPr>
        <w:spacing w:line="360" w:lineRule="auto"/>
        <w:jc w:val="both"/>
        <w:rPr>
          <w:rFonts w:ascii="Arial" w:hAnsi="Arial" w:cs="Arial"/>
          <w:sz w:val="24"/>
          <w:szCs w:val="24"/>
        </w:rPr>
      </w:pPr>
      <w:r w:rsidRPr="00885CC1">
        <w:rPr>
          <w:rFonts w:ascii="Arial" w:hAnsi="Arial" w:cs="Arial"/>
          <w:sz w:val="24"/>
          <w:szCs w:val="24"/>
        </w:rPr>
        <w:t xml:space="preserve">MSc, PhD, Jefe de KESY Heraklion </w:t>
      </w:r>
      <w:r w:rsidR="00F54B2E">
        <w:rPr>
          <w:rFonts w:ascii="Arial" w:hAnsi="Arial" w:cs="Arial"/>
          <w:sz w:val="24"/>
          <w:szCs w:val="24"/>
        </w:rPr>
        <w:tab/>
      </w:r>
      <w:r w:rsidR="00F54B2E">
        <w:rPr>
          <w:rFonts w:ascii="Arial" w:hAnsi="Arial" w:cs="Arial"/>
          <w:sz w:val="24"/>
          <w:szCs w:val="24"/>
        </w:rPr>
        <w:tab/>
        <w:t xml:space="preserve">Maestría </w:t>
      </w:r>
      <w:r w:rsidR="00F54B2E" w:rsidRPr="00885CC1">
        <w:rPr>
          <w:rFonts w:ascii="Arial" w:hAnsi="Arial" w:cs="Arial"/>
          <w:sz w:val="24"/>
          <w:szCs w:val="24"/>
        </w:rPr>
        <w:t>en Educación de Adultos</w:t>
      </w:r>
    </w:p>
    <w:p w:rsidR="00885CC1" w:rsidRPr="00885CC1" w:rsidRDefault="00885CC1" w:rsidP="00F54B2E">
      <w:pPr>
        <w:spacing w:line="360" w:lineRule="auto"/>
        <w:rPr>
          <w:rFonts w:ascii="Arial" w:hAnsi="Arial" w:cs="Arial"/>
          <w:sz w:val="24"/>
          <w:szCs w:val="24"/>
        </w:rPr>
      </w:pPr>
    </w:p>
    <w:p w:rsidR="00885CC1" w:rsidRPr="00D17A20" w:rsidRDefault="00885CC1" w:rsidP="00885CC1">
      <w:pPr>
        <w:spacing w:line="360" w:lineRule="auto"/>
        <w:jc w:val="both"/>
        <w:rPr>
          <w:rFonts w:ascii="Arial" w:hAnsi="Arial" w:cs="Arial"/>
          <w:sz w:val="24"/>
          <w:szCs w:val="24"/>
        </w:rPr>
      </w:pPr>
      <w:r w:rsidRPr="00885CC1">
        <w:rPr>
          <w:rFonts w:ascii="Arial" w:hAnsi="Arial" w:cs="Arial"/>
          <w:sz w:val="24"/>
          <w:szCs w:val="24"/>
        </w:rPr>
        <w:t xml:space="preserve">  </w:t>
      </w:r>
      <w:r w:rsidR="00F54B2E">
        <w:rPr>
          <w:rFonts w:ascii="Arial" w:hAnsi="Arial" w:cs="Arial"/>
          <w:sz w:val="24"/>
          <w:szCs w:val="24"/>
        </w:rPr>
        <w:tab/>
      </w:r>
      <w:r w:rsidR="00F54B2E">
        <w:rPr>
          <w:rFonts w:ascii="Arial" w:hAnsi="Arial" w:cs="Arial"/>
          <w:sz w:val="24"/>
          <w:szCs w:val="24"/>
        </w:rPr>
        <w:tab/>
      </w:r>
      <w:r w:rsidR="00F54B2E">
        <w:rPr>
          <w:rFonts w:ascii="Arial" w:hAnsi="Arial" w:cs="Arial"/>
          <w:sz w:val="24"/>
          <w:szCs w:val="24"/>
        </w:rPr>
        <w:tab/>
      </w:r>
      <w:r w:rsidR="00F54B2E">
        <w:rPr>
          <w:rFonts w:ascii="Arial" w:hAnsi="Arial" w:cs="Arial"/>
          <w:sz w:val="24"/>
          <w:szCs w:val="24"/>
        </w:rPr>
        <w:tab/>
      </w:r>
      <w:r w:rsidR="00F54B2E">
        <w:rPr>
          <w:rFonts w:ascii="Arial" w:hAnsi="Arial" w:cs="Arial"/>
          <w:sz w:val="24"/>
          <w:szCs w:val="24"/>
        </w:rPr>
        <w:tab/>
      </w:r>
      <w:r w:rsidR="00F54B2E">
        <w:rPr>
          <w:rFonts w:ascii="Arial" w:hAnsi="Arial" w:cs="Arial"/>
          <w:sz w:val="24"/>
          <w:szCs w:val="24"/>
        </w:rPr>
        <w:tab/>
      </w:r>
      <w:r w:rsidR="00F54B2E">
        <w:rPr>
          <w:rFonts w:ascii="Arial" w:hAnsi="Arial" w:cs="Arial"/>
          <w:sz w:val="24"/>
          <w:szCs w:val="24"/>
        </w:rPr>
        <w:tab/>
      </w:r>
    </w:p>
    <w:sectPr w:rsidR="00885CC1" w:rsidRPr="00D17A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44E88"/>
    <w:multiLevelType w:val="hybridMultilevel"/>
    <w:tmpl w:val="E9E0F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3126A72"/>
    <w:multiLevelType w:val="hybridMultilevel"/>
    <w:tmpl w:val="AC20DD2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C687C64"/>
    <w:multiLevelType w:val="hybridMultilevel"/>
    <w:tmpl w:val="922060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38D101A"/>
    <w:multiLevelType w:val="hybridMultilevel"/>
    <w:tmpl w:val="BE50A15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D677206"/>
    <w:multiLevelType w:val="hybridMultilevel"/>
    <w:tmpl w:val="7988C9B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409690B"/>
    <w:multiLevelType w:val="hybridMultilevel"/>
    <w:tmpl w:val="F55C7DBE"/>
    <w:lvl w:ilvl="0" w:tplc="36B4139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115591A"/>
    <w:multiLevelType w:val="hybridMultilevel"/>
    <w:tmpl w:val="036EE2B6"/>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nsid w:val="65652CDE"/>
    <w:multiLevelType w:val="hybridMultilevel"/>
    <w:tmpl w:val="DC08C30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8600836"/>
    <w:multiLevelType w:val="hybridMultilevel"/>
    <w:tmpl w:val="84ECEA4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8"/>
  </w:num>
  <w:num w:numId="6">
    <w:abstractNumId w:val="7"/>
  </w:num>
  <w:num w:numId="7">
    <w:abstractNumId w:val="6"/>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A20"/>
    <w:rsid w:val="000061C5"/>
    <w:rsid w:val="0001176F"/>
    <w:rsid w:val="00057CB5"/>
    <w:rsid w:val="00091F85"/>
    <w:rsid w:val="000B1CC5"/>
    <w:rsid w:val="001851DB"/>
    <w:rsid w:val="002B4336"/>
    <w:rsid w:val="00414D51"/>
    <w:rsid w:val="00643EB1"/>
    <w:rsid w:val="006D791C"/>
    <w:rsid w:val="006F7082"/>
    <w:rsid w:val="00885CC1"/>
    <w:rsid w:val="00AD4C36"/>
    <w:rsid w:val="00BA57BA"/>
    <w:rsid w:val="00C07353"/>
    <w:rsid w:val="00D17737"/>
    <w:rsid w:val="00D17A20"/>
    <w:rsid w:val="00F54B2E"/>
    <w:rsid w:val="00FA67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4E2223-ED81-407C-870F-D5AC333FC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57BA"/>
    <w:pPr>
      <w:ind w:left="720"/>
      <w:contextualSpacing/>
    </w:pPr>
  </w:style>
  <w:style w:type="paragraph" w:styleId="HTML">
    <w:name w:val="HTML Address"/>
    <w:basedOn w:val="a"/>
    <w:link w:val="HTMLChar"/>
    <w:uiPriority w:val="99"/>
    <w:semiHidden/>
    <w:unhideWhenUsed/>
    <w:rsid w:val="00BA57BA"/>
    <w:pPr>
      <w:spacing w:after="0" w:line="240" w:lineRule="auto"/>
    </w:pPr>
    <w:rPr>
      <w:rFonts w:ascii="Times New Roman" w:eastAsia="Times New Roman" w:hAnsi="Times New Roman" w:cs="Times New Roman"/>
      <w:i/>
      <w:iCs/>
      <w:sz w:val="24"/>
      <w:szCs w:val="24"/>
      <w:lang w:val="en-US"/>
    </w:rPr>
  </w:style>
  <w:style w:type="character" w:customStyle="1" w:styleId="HTMLChar">
    <w:name w:val="Διεύθυνση HTML Char"/>
    <w:basedOn w:val="a0"/>
    <w:link w:val="HTML"/>
    <w:uiPriority w:val="99"/>
    <w:semiHidden/>
    <w:rsid w:val="00BA57BA"/>
    <w:rPr>
      <w:rFonts w:ascii="Times New Roman" w:eastAsia="Times New Roman" w:hAnsi="Times New Roman" w:cs="Times New Roman"/>
      <w:i/>
      <w:iCs/>
      <w:sz w:val="24"/>
      <w:szCs w:val="24"/>
      <w:lang w:val="en-US"/>
    </w:rPr>
  </w:style>
  <w:style w:type="character" w:styleId="-">
    <w:name w:val="Hyperlink"/>
    <w:basedOn w:val="a0"/>
    <w:uiPriority w:val="99"/>
    <w:unhideWhenUsed/>
    <w:rsid w:val="00BA57BA"/>
    <w:rPr>
      <w:color w:val="0000FF"/>
      <w:u w:val="single"/>
    </w:rPr>
  </w:style>
  <w:style w:type="table" w:styleId="a4">
    <w:name w:val="Table Grid"/>
    <w:basedOn w:val="a1"/>
    <w:uiPriority w:val="39"/>
    <w:rsid w:val="00057C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405249">
      <w:bodyDiv w:val="1"/>
      <w:marLeft w:val="0"/>
      <w:marRight w:val="0"/>
      <w:marTop w:val="0"/>
      <w:marBottom w:val="0"/>
      <w:divBdr>
        <w:top w:val="none" w:sz="0" w:space="0" w:color="auto"/>
        <w:left w:val="none" w:sz="0" w:space="0" w:color="auto"/>
        <w:bottom w:val="none" w:sz="0" w:space="0" w:color="auto"/>
        <w:right w:val="none" w:sz="0" w:space="0" w:color="auto"/>
      </w:divBdr>
    </w:div>
    <w:div w:id="798302414">
      <w:bodyDiv w:val="1"/>
      <w:marLeft w:val="0"/>
      <w:marRight w:val="0"/>
      <w:marTop w:val="0"/>
      <w:marBottom w:val="0"/>
      <w:divBdr>
        <w:top w:val="none" w:sz="0" w:space="0" w:color="auto"/>
        <w:left w:val="none" w:sz="0" w:space="0" w:color="auto"/>
        <w:bottom w:val="none" w:sz="0" w:space="0" w:color="auto"/>
        <w:right w:val="none" w:sz="0" w:space="0" w:color="auto"/>
      </w:divBdr>
    </w:div>
    <w:div w:id="883323670">
      <w:bodyDiv w:val="1"/>
      <w:marLeft w:val="0"/>
      <w:marRight w:val="0"/>
      <w:marTop w:val="0"/>
      <w:marBottom w:val="0"/>
      <w:divBdr>
        <w:top w:val="none" w:sz="0" w:space="0" w:color="auto"/>
        <w:left w:val="none" w:sz="0" w:space="0" w:color="auto"/>
        <w:bottom w:val="none" w:sz="0" w:space="0" w:color="auto"/>
        <w:right w:val="none" w:sz="0" w:space="0" w:color="auto"/>
      </w:divBdr>
    </w:div>
    <w:div w:id="182723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b.com/iake.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1834</Words>
  <Characters>9908</Characters>
  <Application>Microsoft Office Word</Application>
  <DocSecurity>0</DocSecurity>
  <Lines>82</Lines>
  <Paragraphs>23</Paragraphs>
  <ScaleCrop>false</ScaleCrop>
  <HeadingPairs>
    <vt:vector size="4" baseType="variant">
      <vt:variant>
        <vt:lpstr>Τίτλος</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Hernández</dc:creator>
  <cp:keywords/>
  <dc:description/>
  <cp:lastModifiedBy>Admin</cp:lastModifiedBy>
  <cp:revision>2</cp:revision>
  <dcterms:created xsi:type="dcterms:W3CDTF">2023-01-30T19:25:00Z</dcterms:created>
  <dcterms:modified xsi:type="dcterms:W3CDTF">2023-01-30T19:25:00Z</dcterms:modified>
</cp:coreProperties>
</file>